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F55CE" w14:textId="5C3077E9" w:rsidR="00C54E54" w:rsidRPr="00EA2BB7" w:rsidRDefault="00060107">
      <w:pPr>
        <w:pStyle w:val="Papertitle"/>
      </w:pPr>
      <w:bookmarkStart w:id="0" w:name="_Hlk47357927"/>
      <w:r w:rsidRPr="00C87B7B">
        <w:rPr>
          <w:i/>
          <w:iCs/>
        </w:rPr>
        <w:t>in silico</w:t>
      </w:r>
      <w:r w:rsidRPr="00EA2BB7">
        <w:t xml:space="preserve"> investigation of the potential inhibitory effects of </w:t>
      </w:r>
      <w:r w:rsidR="00FD13FB" w:rsidRPr="00EA2BB7">
        <w:t xml:space="preserve">anthraquinone derivatives </w:t>
      </w:r>
      <w:r w:rsidRPr="00EA2BB7">
        <w:t>on alpha synuclein aggregation</w:t>
      </w:r>
    </w:p>
    <w:bookmarkEnd w:id="0"/>
    <w:p w14:paraId="5A5B82F8" w14:textId="79B522BF" w:rsidR="00C54E54" w:rsidRPr="00EA2BB7" w:rsidRDefault="00732EE2">
      <w:pPr>
        <w:pStyle w:val="Authors"/>
        <w:rPr>
          <w:color w:val="FF0000"/>
        </w:rPr>
      </w:pPr>
      <w:r w:rsidRPr="00EB5CF3">
        <w:t>s</w:t>
      </w:r>
      <w:r w:rsidR="00752B39">
        <w:t>.</w:t>
      </w:r>
      <w:r w:rsidRPr="00EE1991">
        <w:rPr>
          <w:color w:val="FF0000"/>
        </w:rPr>
        <w:t xml:space="preserve"> </w:t>
      </w:r>
      <w:r w:rsidRPr="00EA2BB7">
        <w:t>draga</w:t>
      </w:r>
      <w:r w:rsidR="00C54E54" w:rsidRPr="00EA2BB7">
        <w:t>*</w:t>
      </w:r>
      <w:r w:rsidR="002A156F" w:rsidRPr="00EA2BB7">
        <w:rPr>
          <w:vertAlign w:val="superscript"/>
        </w:rPr>
        <w:t>#</w:t>
      </w:r>
      <w:r w:rsidR="00A021D2" w:rsidRPr="00EA2BB7">
        <w:rPr>
          <w:vertAlign w:val="superscript"/>
        </w:rPr>
        <w:t>,</w:t>
      </w:r>
      <w:r w:rsidR="002A156F" w:rsidRPr="00EA2BB7">
        <w:t>**</w:t>
      </w:r>
      <w:r w:rsidR="00C54E54" w:rsidRPr="00EA2BB7">
        <w:t>,</w:t>
      </w:r>
      <w:r w:rsidR="006A2BE2" w:rsidRPr="00EA2BB7">
        <w:t xml:space="preserve"> </w:t>
      </w:r>
      <w:r w:rsidR="002A156F" w:rsidRPr="00EA2BB7">
        <w:t>EMILIA BU</w:t>
      </w:r>
      <w:r w:rsidR="00EB5CF3" w:rsidRPr="00EB5CF3">
        <w:t>Ş</w:t>
      </w:r>
      <w:r w:rsidR="002A156F" w:rsidRPr="00EA2BB7">
        <w:t xml:space="preserve">E**, </w:t>
      </w:r>
      <w:r w:rsidR="002A156F" w:rsidRPr="00EB5CF3">
        <w:t>SPERAN</w:t>
      </w:r>
      <w:r w:rsidR="00EB5CF3" w:rsidRPr="00EB5CF3">
        <w:t>Ţ</w:t>
      </w:r>
      <w:r w:rsidR="002A156F" w:rsidRPr="00EB5CF3">
        <w:t>A</w:t>
      </w:r>
      <w:r w:rsidR="002A156F" w:rsidRPr="00EA2BB7">
        <w:t xml:space="preserve"> AVRAM</w:t>
      </w:r>
      <w:r w:rsidR="00C54E54" w:rsidRPr="00EA2BB7">
        <w:t>*</w:t>
      </w:r>
      <w:r w:rsidR="009724CE">
        <w:t xml:space="preserve"> </w:t>
      </w:r>
    </w:p>
    <w:p w14:paraId="6D4DDCB9" w14:textId="2B00BE6D" w:rsidR="002A156F" w:rsidRPr="00EA2BB7" w:rsidRDefault="002A156F" w:rsidP="002A156F">
      <w:pPr>
        <w:pStyle w:val="Address"/>
      </w:pPr>
      <w:bookmarkStart w:id="1" w:name="_Hlk41473628"/>
      <w:r w:rsidRPr="00EA2BB7">
        <w:rPr>
          <w:iCs/>
        </w:rPr>
        <w:t>*Department of Anatomy, Animal Physiology and Biophysics, Faculty of Biology, University of Bucharest, Bucharest</w:t>
      </w:r>
      <w:r w:rsidR="00C87B7B">
        <w:rPr>
          <w:iCs/>
        </w:rPr>
        <w:t>,</w:t>
      </w:r>
      <w:r w:rsidRPr="00EA2BB7">
        <w:rPr>
          <w:iCs/>
          <w:vertAlign w:val="superscript"/>
        </w:rPr>
        <w:t xml:space="preserve">, </w:t>
      </w:r>
      <w:r w:rsidRPr="00EA2BB7">
        <w:rPr>
          <w:iCs/>
        </w:rPr>
        <w:t>Romania</w:t>
      </w:r>
      <w:bookmarkEnd w:id="1"/>
      <w:r w:rsidR="009724CE">
        <w:t>,</w:t>
      </w:r>
      <w:r w:rsidR="00ED001F" w:rsidRPr="00EA2BB7">
        <w:t xml:space="preserve"> </w:t>
      </w:r>
      <w:r w:rsidR="00ED001F" w:rsidRPr="00EA2BB7">
        <w:rPr>
          <w:vertAlign w:val="superscript"/>
        </w:rPr>
        <w:t>#</w:t>
      </w:r>
      <w:r w:rsidR="00ED001F" w:rsidRPr="00EA2BB7">
        <w:t xml:space="preserve">e-mail: </w:t>
      </w:r>
      <w:hyperlink r:id="rId8" w:history="1">
        <w:r w:rsidRPr="009724CE">
          <w:rPr>
            <w:rStyle w:val="Hyperlink"/>
            <w:color w:val="auto"/>
            <w:u w:val="none"/>
          </w:rPr>
          <w:t>sor.draga@gmail.com</w:t>
        </w:r>
      </w:hyperlink>
      <w:r w:rsidRPr="00EA2BB7">
        <w:t xml:space="preserve">  </w:t>
      </w:r>
    </w:p>
    <w:p w14:paraId="6DEB6BCF" w14:textId="4CB5C024" w:rsidR="002A156F" w:rsidRPr="00EA2BB7" w:rsidRDefault="002A156F" w:rsidP="002A156F">
      <w:pPr>
        <w:pStyle w:val="Address"/>
      </w:pPr>
      <w:r w:rsidRPr="00EA2BB7">
        <w:t xml:space="preserve">          ** S.C. </w:t>
      </w:r>
      <w:proofErr w:type="spellStart"/>
      <w:r w:rsidRPr="00EA2BB7">
        <w:t>Biotehnos</w:t>
      </w:r>
      <w:proofErr w:type="spellEnd"/>
      <w:r w:rsidRPr="00EA2BB7">
        <w:t xml:space="preserve"> S.A.,</w:t>
      </w:r>
      <w:r w:rsidR="007D1B02">
        <w:t xml:space="preserve"> </w:t>
      </w:r>
      <w:r w:rsidRPr="00EA2BB7">
        <w:t>3</w:t>
      </w:r>
      <w:r w:rsidRPr="009724CE">
        <w:rPr>
          <w:rFonts w:ascii="Symbol" w:hAnsi="Symbol"/>
        </w:rPr>
        <w:t></w:t>
      </w:r>
      <w:r w:rsidRPr="00EA2BB7">
        <w:t xml:space="preserve">5 </w:t>
      </w:r>
      <w:proofErr w:type="spellStart"/>
      <w:r w:rsidRPr="00EA2BB7">
        <w:t>Gorunului</w:t>
      </w:r>
      <w:proofErr w:type="spellEnd"/>
      <w:r w:rsidRPr="00EA2BB7">
        <w:t xml:space="preserve"> Street, 075100-Otopeni, Ilfov, Romania </w:t>
      </w:r>
    </w:p>
    <w:p w14:paraId="6BF099D5" w14:textId="3056E7D2" w:rsidR="00C54E54" w:rsidRPr="00EA2BB7" w:rsidRDefault="00C54E54">
      <w:pPr>
        <w:pStyle w:val="Abstract"/>
      </w:pPr>
      <w:r w:rsidRPr="00EA2BB7">
        <w:rPr>
          <w:i/>
        </w:rPr>
        <w:t>Abstract</w:t>
      </w:r>
      <w:r w:rsidR="00011635" w:rsidRPr="00EA2BB7">
        <w:t xml:space="preserve">. </w:t>
      </w:r>
      <w:r w:rsidR="001777E2" w:rsidRPr="00EA2BB7">
        <w:t>Parkinson’s d</w:t>
      </w:r>
      <w:r w:rsidR="006A2BE2" w:rsidRPr="00EA2BB7">
        <w:t>isease and Lewy body dementias are progressive neurodegenerative diseases accompanied by dementia and a wide array of symptoms such as bradykinesia, rigidity and postural instability. The hallmark of the disease is alpha synuclein aggregation, leading to the formation of Lewy.</w:t>
      </w:r>
      <w:r w:rsidR="00011635" w:rsidRPr="00EA2BB7">
        <w:t xml:space="preserve"> </w:t>
      </w:r>
      <w:r w:rsidR="006A2BE2" w:rsidRPr="00EA2BB7">
        <w:t xml:space="preserve">In this paper we investigate, using various </w:t>
      </w:r>
      <w:r w:rsidR="006A2BE2" w:rsidRPr="00EA2BB7">
        <w:rPr>
          <w:i/>
        </w:rPr>
        <w:t>in silico</w:t>
      </w:r>
      <w:r w:rsidR="006A2BE2" w:rsidRPr="00EA2BB7">
        <w:t xml:space="preserve"> tools, the potential anti</w:t>
      </w:r>
      <w:r w:rsidR="001B4242" w:rsidRPr="00EA2BB7">
        <w:t>-</w:t>
      </w:r>
      <w:r w:rsidR="006A2BE2" w:rsidRPr="00EA2BB7">
        <w:t xml:space="preserve">aggregation effects of </w:t>
      </w:r>
      <w:r w:rsidR="001777E2" w:rsidRPr="00EA2BB7">
        <w:t xml:space="preserve">anthraquinone derivatives </w:t>
      </w:r>
      <w:r w:rsidR="006A2BE2" w:rsidRPr="00EA2BB7">
        <w:t xml:space="preserve">carminic, </w:t>
      </w:r>
      <w:proofErr w:type="spellStart"/>
      <w:r w:rsidR="006A2BE2" w:rsidRPr="00EA2BB7">
        <w:t>kermesic</w:t>
      </w:r>
      <w:proofErr w:type="spellEnd"/>
      <w:r w:rsidR="006A2BE2" w:rsidRPr="00EA2BB7">
        <w:t xml:space="preserve"> and </w:t>
      </w:r>
      <w:proofErr w:type="spellStart"/>
      <w:r w:rsidR="006A2BE2" w:rsidRPr="00EA2BB7">
        <w:t>laccaic</w:t>
      </w:r>
      <w:proofErr w:type="spellEnd"/>
      <w:r w:rsidR="006A2BE2" w:rsidRPr="00EA2BB7">
        <w:t xml:space="preserve"> acid and their potential future use as lead compounds for clinical applications. To this end, we employed a combination of predictors used for properties like </w:t>
      </w:r>
      <w:r w:rsidR="00F90502" w:rsidRPr="000829DF">
        <w:t>absorption</w:t>
      </w:r>
      <w:r w:rsidR="006A2BE2" w:rsidRPr="00EA2BB7">
        <w:t xml:space="preserve">, distribution, metabolism and excretion (ADME), drug-likeness and lead-likeness. Additionally, we used a </w:t>
      </w:r>
      <w:r w:rsidR="001777E2" w:rsidRPr="00EA2BB7">
        <w:t>molecular docking</w:t>
      </w:r>
      <w:r w:rsidR="006A2BE2" w:rsidRPr="00EA2BB7">
        <w:t xml:space="preserve"> to estimate the binding affinities of the three compounds to alpha synuclein. Our </w:t>
      </w:r>
      <w:r w:rsidR="00EB5CF3" w:rsidRPr="00311E0C">
        <w:t>predictions</w:t>
      </w:r>
      <w:r w:rsidR="006A2BE2" w:rsidRPr="00311E0C">
        <w:t xml:space="preserve"> </w:t>
      </w:r>
      <w:r w:rsidR="006A2BE2" w:rsidRPr="00EA2BB7">
        <w:t>ind</w:t>
      </w:r>
      <w:r w:rsidR="00C344BE" w:rsidRPr="00EA2BB7">
        <w:t xml:space="preserve">icate </w:t>
      </w:r>
      <w:proofErr w:type="spellStart"/>
      <w:r w:rsidR="00C344BE" w:rsidRPr="00EA2BB7">
        <w:t>kermesic</w:t>
      </w:r>
      <w:proofErr w:type="spellEnd"/>
      <w:r w:rsidR="00C344BE" w:rsidRPr="00EA2BB7">
        <w:t xml:space="preserve"> acid as the compound having the greatest </w:t>
      </w:r>
      <w:proofErr w:type="spellStart"/>
      <w:r w:rsidR="00C344BE" w:rsidRPr="00EA2BB7">
        <w:t>therapeutical</w:t>
      </w:r>
      <w:proofErr w:type="spellEnd"/>
      <w:r w:rsidR="00C344BE" w:rsidRPr="00EA2BB7">
        <w:t xml:space="preserve"> potential.</w:t>
      </w:r>
    </w:p>
    <w:p w14:paraId="084A768B" w14:textId="66F3B89A" w:rsidR="00C54E54" w:rsidRPr="00EA2BB7" w:rsidRDefault="00C54E54">
      <w:pPr>
        <w:pStyle w:val="Keywords"/>
      </w:pPr>
      <w:r w:rsidRPr="00EA2BB7">
        <w:rPr>
          <w:i/>
        </w:rPr>
        <w:t>Key words</w:t>
      </w:r>
      <w:r w:rsidRPr="00EA2BB7">
        <w:t xml:space="preserve">: </w:t>
      </w:r>
      <w:r w:rsidR="001777E2" w:rsidRPr="00EA2BB7">
        <w:t xml:space="preserve">Parkinson’s disease, alpha </w:t>
      </w:r>
      <w:r w:rsidR="001777E2" w:rsidRPr="00EB5CF3">
        <w:t>syn</w:t>
      </w:r>
      <w:r w:rsidR="005E6D0A" w:rsidRPr="00EB5CF3">
        <w:t>uc</w:t>
      </w:r>
      <w:r w:rsidR="001777E2" w:rsidRPr="00EB5CF3">
        <w:t>lein</w:t>
      </w:r>
      <w:r w:rsidR="001777E2" w:rsidRPr="00EA2BB7">
        <w:t xml:space="preserve">, carminic acid, </w:t>
      </w:r>
      <w:proofErr w:type="spellStart"/>
      <w:r w:rsidR="001777E2" w:rsidRPr="00EA2BB7">
        <w:t>kermesic</w:t>
      </w:r>
      <w:proofErr w:type="spellEnd"/>
      <w:r w:rsidR="001777E2" w:rsidRPr="00EA2BB7">
        <w:t xml:space="preserve"> acid</w:t>
      </w:r>
      <w:r w:rsidR="007506BB" w:rsidRPr="00EA2BB7">
        <w:t>.</w:t>
      </w:r>
    </w:p>
    <w:p w14:paraId="5C898CB7" w14:textId="4E5767D4" w:rsidR="00B43135" w:rsidRPr="00EA2BB7" w:rsidRDefault="00C54E54" w:rsidP="007506BB">
      <w:pPr>
        <w:pStyle w:val="Chapter"/>
      </w:pPr>
      <w:r w:rsidRPr="00EA2BB7">
        <w:t xml:space="preserve">introduction </w:t>
      </w:r>
    </w:p>
    <w:p w14:paraId="02ADDFDC" w14:textId="658A2A84" w:rsidR="00FA280A" w:rsidRPr="00EA2BB7" w:rsidRDefault="00FA280A" w:rsidP="00B151A3">
      <w:pPr>
        <w:pStyle w:val="Text"/>
      </w:pPr>
      <w:r w:rsidRPr="00EA2BB7">
        <w:t>Parkinson’</w:t>
      </w:r>
      <w:r w:rsidR="00F66955" w:rsidRPr="00EA2BB7">
        <w:t xml:space="preserve">s </w:t>
      </w:r>
      <w:r w:rsidR="00E74F65" w:rsidRPr="00EA2BB7">
        <w:t>Disease</w:t>
      </w:r>
      <w:r w:rsidR="00E86DA3" w:rsidRPr="00EA2BB7">
        <w:t xml:space="preserve"> and Lewy body dementias</w:t>
      </w:r>
      <w:r w:rsidR="00E74F65" w:rsidRPr="00EA2BB7">
        <w:t xml:space="preserve"> </w:t>
      </w:r>
      <w:r w:rsidR="00E86DA3" w:rsidRPr="00EA2BB7">
        <w:t>are</w:t>
      </w:r>
      <w:r w:rsidR="00E74F65" w:rsidRPr="00EA2BB7">
        <w:t xml:space="preserve"> progressive neurodegenerative disease</w:t>
      </w:r>
      <w:r w:rsidR="00E86DA3" w:rsidRPr="00EA2BB7">
        <w:t>s</w:t>
      </w:r>
      <w:r w:rsidR="00E74F65" w:rsidRPr="00EA2BB7">
        <w:t xml:space="preserve"> accompanied by dementia</w:t>
      </w:r>
      <w:r w:rsidR="007E5F82" w:rsidRPr="00EA2BB7">
        <w:t xml:space="preserve"> and</w:t>
      </w:r>
      <w:r w:rsidR="00E74F65" w:rsidRPr="00EA2BB7">
        <w:t xml:space="preserve"> a wide array of symptoms such as bradykinesia, rigidity</w:t>
      </w:r>
      <w:r w:rsidR="00A6116A" w:rsidRPr="00EA2BB7">
        <w:t xml:space="preserve"> and</w:t>
      </w:r>
      <w:r w:rsidR="00E74F65" w:rsidRPr="00EA2BB7">
        <w:t xml:space="preserve"> postural instability</w:t>
      </w:r>
      <w:r w:rsidR="00A6116A" w:rsidRPr="00EA2BB7">
        <w:t>, among others</w:t>
      </w:r>
      <w:r w:rsidR="00E74F65" w:rsidRPr="00EA2BB7">
        <w:t>. The main cause of the dise</w:t>
      </w:r>
      <w:r w:rsidR="00DF7ABB" w:rsidRPr="00EA2BB7">
        <w:t>ase</w:t>
      </w:r>
      <w:r w:rsidR="00E74F65" w:rsidRPr="00EA2BB7">
        <w:t xml:space="preserve"> is considered to be the death of</w:t>
      </w:r>
      <w:r w:rsidR="00D82015" w:rsidRPr="00EA2BB7">
        <w:t xml:space="preserve"> dopaminergic</w:t>
      </w:r>
      <w:r w:rsidR="00E74F65" w:rsidRPr="00EA2BB7">
        <w:t xml:space="preserve"> neurons in the </w:t>
      </w:r>
      <w:r w:rsidR="00E74F65" w:rsidRPr="00EA2BB7">
        <w:rPr>
          <w:i/>
          <w:iCs/>
        </w:rPr>
        <w:t xml:space="preserve">substantia </w:t>
      </w:r>
      <w:proofErr w:type="spellStart"/>
      <w:r w:rsidR="00E74F65" w:rsidRPr="00EA2BB7">
        <w:rPr>
          <w:i/>
          <w:iCs/>
        </w:rPr>
        <w:t>nigra</w:t>
      </w:r>
      <w:proofErr w:type="spellEnd"/>
      <w:r w:rsidR="00A6116A" w:rsidRPr="00EA2BB7">
        <w:rPr>
          <w:i/>
          <w:iCs/>
        </w:rPr>
        <w:t xml:space="preserve"> </w:t>
      </w:r>
      <w:r w:rsidR="00A6116A" w:rsidRPr="00EA2BB7">
        <w:t>with direct involvement of the alpha synuclein protein</w:t>
      </w:r>
      <w:r w:rsidR="00F13DD5" w:rsidRPr="00EA2BB7">
        <w:t>.</w:t>
      </w:r>
      <w:r w:rsidRPr="00EA2BB7">
        <w:t xml:space="preserve"> </w:t>
      </w:r>
    </w:p>
    <w:p w14:paraId="7057679B" w14:textId="2E6A8DC3" w:rsidR="00A6116A" w:rsidRPr="00EA2BB7" w:rsidRDefault="00D82015" w:rsidP="00B151A3">
      <w:pPr>
        <w:pStyle w:val="Text"/>
      </w:pPr>
      <w:r w:rsidRPr="00EA2BB7">
        <w:t xml:space="preserve">On a molecular level, neuronal death is driven by </w:t>
      </w:r>
      <w:r w:rsidR="000163B5" w:rsidRPr="00EA2BB7">
        <w:t xml:space="preserve">the accumulation and aggregation of the presynaptic protein </w:t>
      </w:r>
      <w:r w:rsidRPr="00EA2BB7">
        <w:t>alpha synuclein</w:t>
      </w:r>
      <w:r w:rsidR="00D30B98" w:rsidRPr="00EA2BB7">
        <w:t xml:space="preserve"> from the cytosol and possible low-affinity binding to neuronal membranes, leading to a loss of conformational entropy and leading to a more structured helical form that facilitates membrane interaction</w:t>
      </w:r>
      <w:r w:rsidR="00C95D66" w:rsidRPr="00EA2BB7">
        <w:t xml:space="preserve"> </w:t>
      </w:r>
      <w:r w:rsidR="009041C0" w:rsidRPr="00EA2BB7">
        <w:t>[</w:t>
      </w:r>
      <w:r w:rsidR="00C50A56" w:rsidRPr="00EA2BB7">
        <w:t>5</w:t>
      </w:r>
      <w:r w:rsidR="009041C0" w:rsidRPr="00EA2BB7">
        <w:t>]</w:t>
      </w:r>
      <w:r w:rsidR="006D2E3C" w:rsidRPr="00EA2BB7">
        <w:t>, pore formation</w:t>
      </w:r>
      <w:r w:rsidR="00C95D66" w:rsidRPr="00EA2BB7">
        <w:t xml:space="preserve"> </w:t>
      </w:r>
      <w:r w:rsidR="009041C0" w:rsidRPr="00EA2BB7">
        <w:t>[</w:t>
      </w:r>
      <w:r w:rsidR="00117588" w:rsidRPr="00EA2BB7">
        <w:t>8</w:t>
      </w:r>
      <w:r w:rsidR="009041C0" w:rsidRPr="00EA2BB7">
        <w:t>]</w:t>
      </w:r>
      <w:r w:rsidR="006D2E3C" w:rsidRPr="00EA2BB7">
        <w:t xml:space="preserve"> </w:t>
      </w:r>
      <w:r w:rsidRPr="00EA2BB7">
        <w:t xml:space="preserve">and subsequent </w:t>
      </w:r>
      <w:r w:rsidR="006D2E3C" w:rsidRPr="00EA2BB7">
        <w:t>genesis</w:t>
      </w:r>
      <w:r w:rsidRPr="00EA2BB7">
        <w:t xml:space="preserve"> of Le</w:t>
      </w:r>
      <w:r w:rsidR="004906B3" w:rsidRPr="00EA2BB7">
        <w:t>w</w:t>
      </w:r>
      <w:r w:rsidRPr="00EA2BB7">
        <w:t>y bodies</w:t>
      </w:r>
      <w:r w:rsidR="00240B5E" w:rsidRPr="00EA2BB7">
        <w:t xml:space="preserve">, abnormal intraneuronal accumulations of proteins, driven by </w:t>
      </w:r>
      <w:r w:rsidR="00D30B98" w:rsidRPr="00EA2BB7">
        <w:t>its</w:t>
      </w:r>
      <w:r w:rsidR="00240B5E" w:rsidRPr="00EA2BB7">
        <w:t xml:space="preserve"> aggregation but also </w:t>
      </w:r>
      <w:r w:rsidR="00240B5E" w:rsidRPr="00EA2BB7">
        <w:lastRenderedPageBreak/>
        <w:t>containing numerous other proteins responsible with ubiquitination and protein trafficking, oxidative stress, chaperones, kinases and many others</w:t>
      </w:r>
      <w:r w:rsidRPr="00EA2BB7">
        <w:t xml:space="preserve">. Structurally, </w:t>
      </w:r>
      <w:r w:rsidR="00853F76" w:rsidRPr="00EA2BB7">
        <w:t>alpha synuclein is</w:t>
      </w:r>
      <w:r w:rsidR="00EB55E0" w:rsidRPr="00EA2BB7">
        <w:t xml:space="preserve"> a</w:t>
      </w:r>
      <w:r w:rsidR="00853F76" w:rsidRPr="00EA2BB7">
        <w:t xml:space="preserve"> </w:t>
      </w:r>
      <w:r w:rsidR="00EB55E0" w:rsidRPr="00EA2BB7">
        <w:t xml:space="preserve">140 </w:t>
      </w:r>
      <w:proofErr w:type="spellStart"/>
      <w:r w:rsidR="00EB55E0" w:rsidRPr="00EA2BB7">
        <w:t>aminoacid</w:t>
      </w:r>
      <w:proofErr w:type="spellEnd"/>
      <w:r w:rsidR="00EB55E0" w:rsidRPr="00EA2BB7">
        <w:t xml:space="preserve"> long </w:t>
      </w:r>
      <w:r w:rsidR="00853F76" w:rsidRPr="00EA2BB7">
        <w:t xml:space="preserve">intrinsically unstructured </w:t>
      </w:r>
      <w:r w:rsidR="00715764" w:rsidRPr="00EA2BB7">
        <w:t>pres</w:t>
      </w:r>
      <w:r w:rsidR="0096025F" w:rsidRPr="00EA2BB7">
        <w:t>y</w:t>
      </w:r>
      <w:r w:rsidR="00715764" w:rsidRPr="00EA2BB7">
        <w:t xml:space="preserve">naptic </w:t>
      </w:r>
      <w:r w:rsidR="00EB55E0" w:rsidRPr="00EA2BB7">
        <w:t>protein</w:t>
      </w:r>
      <w:r w:rsidR="006B7D87" w:rsidRPr="00EA2BB7">
        <w:t xml:space="preserve"> and may suffer a series of post-</w:t>
      </w:r>
      <w:proofErr w:type="spellStart"/>
      <w:r w:rsidR="006B7D87" w:rsidRPr="00EA2BB7">
        <w:t>tras</w:t>
      </w:r>
      <w:r w:rsidR="005255E2" w:rsidRPr="00EA2BB7">
        <w:t>la</w:t>
      </w:r>
      <w:r w:rsidR="006B7D87" w:rsidRPr="00EA2BB7">
        <w:t>tional</w:t>
      </w:r>
      <w:proofErr w:type="spellEnd"/>
      <w:r w:rsidR="006B7D87" w:rsidRPr="00EA2BB7">
        <w:t xml:space="preserve"> modifications as oxidation, </w:t>
      </w:r>
      <w:proofErr w:type="spellStart"/>
      <w:r w:rsidR="006B7D87" w:rsidRPr="00EA2BB7">
        <w:t>nitrosylation</w:t>
      </w:r>
      <w:proofErr w:type="spellEnd"/>
      <w:r w:rsidR="006B7D87" w:rsidRPr="00EA2BB7">
        <w:t>, phosphorylation, glycation and glycosylation</w:t>
      </w:r>
      <w:r w:rsidR="007506BB" w:rsidRPr="00EA2BB7">
        <w:t xml:space="preserve"> </w:t>
      </w:r>
      <w:r w:rsidR="0096025F" w:rsidRPr="00EA2BB7">
        <w:t>[</w:t>
      </w:r>
      <w:r w:rsidR="00117588" w:rsidRPr="00EA2BB7">
        <w:t>16</w:t>
      </w:r>
      <w:r w:rsidR="0096025F" w:rsidRPr="00EA2BB7">
        <w:t>]</w:t>
      </w:r>
      <w:r w:rsidR="007506BB" w:rsidRPr="00EA2BB7">
        <w:t>.</w:t>
      </w:r>
      <w:r w:rsidR="004906B3" w:rsidRPr="00EA2BB7">
        <w:t xml:space="preserve"> </w:t>
      </w:r>
    </w:p>
    <w:p w14:paraId="1BAA62C7" w14:textId="5393F631" w:rsidR="00EB55E0" w:rsidRPr="00EA2BB7" w:rsidRDefault="00D30B98" w:rsidP="00B151A3">
      <w:pPr>
        <w:pStyle w:val="Text"/>
      </w:pPr>
      <w:r w:rsidRPr="00EA2BB7">
        <w:t>Structurally, alpha synuclein</w:t>
      </w:r>
      <w:r w:rsidR="006B7D87" w:rsidRPr="00EA2BB7">
        <w:t xml:space="preserve"> </w:t>
      </w:r>
      <w:r w:rsidR="00D82015" w:rsidRPr="00EA2BB7">
        <w:t>is di</w:t>
      </w:r>
      <w:r w:rsidR="00853F76" w:rsidRPr="00EA2BB7">
        <w:t>vided into three</w:t>
      </w:r>
      <w:r w:rsidR="00F66955" w:rsidRPr="00EA2BB7">
        <w:t xml:space="preserve"> main domains: the amphipathic </w:t>
      </w:r>
      <w:r w:rsidR="00853F76" w:rsidRPr="00EA2BB7">
        <w:t xml:space="preserve">N-terminus region, comprised of </w:t>
      </w:r>
      <w:proofErr w:type="spellStart"/>
      <w:r w:rsidR="00853F76" w:rsidRPr="00EA2BB7">
        <w:t>amino</w:t>
      </w:r>
      <w:r w:rsidR="005255E2" w:rsidRPr="00EA2BB7">
        <w:t>a</w:t>
      </w:r>
      <w:r w:rsidR="00853F76" w:rsidRPr="00EA2BB7">
        <w:t>cids</w:t>
      </w:r>
      <w:proofErr w:type="spellEnd"/>
      <w:r w:rsidR="00853F76" w:rsidRPr="00EA2BB7">
        <w:t xml:space="preserve"> 1</w:t>
      </w:r>
      <w:r w:rsidR="00C87B7B" w:rsidRPr="00C87B7B">
        <w:rPr>
          <w:rFonts w:ascii="Symbol" w:hAnsi="Symbol"/>
        </w:rPr>
        <w:t></w:t>
      </w:r>
      <w:r w:rsidR="00853F76" w:rsidRPr="00EA2BB7">
        <w:t>60 and containing numerous sites responsible for membrane binding, the</w:t>
      </w:r>
      <w:r w:rsidR="00715764" w:rsidRPr="00EA2BB7">
        <w:t xml:space="preserve"> h</w:t>
      </w:r>
      <w:r w:rsidR="00240B5E" w:rsidRPr="00EA2BB7">
        <w:t>y</w:t>
      </w:r>
      <w:r w:rsidR="00715764" w:rsidRPr="00EA2BB7">
        <w:t>drophobic</w:t>
      </w:r>
      <w:r w:rsidR="00853F76" w:rsidRPr="00EA2BB7">
        <w:t xml:space="preserve"> NAC</w:t>
      </w:r>
      <w:r w:rsidR="00984FDA" w:rsidRPr="00EA2BB7">
        <w:t xml:space="preserve"> </w:t>
      </w:r>
      <w:r w:rsidR="00853F76" w:rsidRPr="00EA2BB7">
        <w:t>(</w:t>
      </w:r>
      <w:r w:rsidR="00853F76" w:rsidRPr="00EA2BB7">
        <w:rPr>
          <w:rStyle w:val="st"/>
        </w:rPr>
        <w:t>non-amyloid-β component</w:t>
      </w:r>
      <w:r w:rsidR="00853F76" w:rsidRPr="00EA2BB7">
        <w:t>) region</w:t>
      </w:r>
      <w:r w:rsidR="00A6116A" w:rsidRPr="00EA2BB7">
        <w:t xml:space="preserve">, comprised of </w:t>
      </w:r>
      <w:proofErr w:type="spellStart"/>
      <w:r w:rsidR="00715764" w:rsidRPr="00EA2BB7">
        <w:t>aminoacids</w:t>
      </w:r>
      <w:proofErr w:type="spellEnd"/>
      <w:r w:rsidR="00715764" w:rsidRPr="00EA2BB7">
        <w:t xml:space="preserve"> 61</w:t>
      </w:r>
      <w:r w:rsidR="00C87B7B" w:rsidRPr="00C87B7B">
        <w:rPr>
          <w:rFonts w:ascii="Symbol" w:hAnsi="Symbol"/>
        </w:rPr>
        <w:t></w:t>
      </w:r>
      <w:r w:rsidR="00715764" w:rsidRPr="00EA2BB7">
        <w:t>95</w:t>
      </w:r>
      <w:r w:rsidR="00A6116A" w:rsidRPr="00EA2BB7">
        <w:t xml:space="preserve"> and</w:t>
      </w:r>
      <w:r w:rsidR="00853F76" w:rsidRPr="00EA2BB7">
        <w:t xml:space="preserve"> considered to be the main driver of protein aggregation</w:t>
      </w:r>
      <w:r w:rsidR="00C95D66" w:rsidRPr="00EA2BB7">
        <w:t xml:space="preserve"> </w:t>
      </w:r>
      <w:r w:rsidR="000A68CF" w:rsidRPr="00EA2BB7">
        <w:t>[</w:t>
      </w:r>
      <w:r w:rsidR="00C50A56" w:rsidRPr="00EA2BB7">
        <w:t>1</w:t>
      </w:r>
      <w:r w:rsidR="000A68CF" w:rsidRPr="00EA2BB7">
        <w:t>]</w:t>
      </w:r>
      <w:r w:rsidR="00853F76" w:rsidRPr="00EA2BB7">
        <w:t xml:space="preserve"> and an acidic</w:t>
      </w:r>
      <w:r w:rsidR="00A6116A" w:rsidRPr="00EA2BB7">
        <w:t xml:space="preserve"> intrinsically unstructured</w:t>
      </w:r>
      <w:r w:rsidR="00853F76" w:rsidRPr="00EA2BB7">
        <w:t xml:space="preserve"> C-terminus</w:t>
      </w:r>
      <w:r w:rsidR="00A6116A" w:rsidRPr="00EA2BB7">
        <w:t xml:space="preserve"> tail</w:t>
      </w:r>
      <w:r w:rsidR="00853F76" w:rsidRPr="00EA2BB7">
        <w:t xml:space="preserve"> involved in the inhibition of aggregation</w:t>
      </w:r>
      <w:r w:rsidR="00402EF4" w:rsidRPr="00EA2BB7">
        <w:t xml:space="preserve"> </w:t>
      </w:r>
      <w:r w:rsidR="000A68CF" w:rsidRPr="00EA2BB7">
        <w:t>[</w:t>
      </w:r>
      <w:r w:rsidR="00117588" w:rsidRPr="00EA2BB7">
        <w:t>4</w:t>
      </w:r>
      <w:r w:rsidR="000A68CF" w:rsidRPr="00EA2BB7">
        <w:t>]</w:t>
      </w:r>
      <w:r w:rsidR="007506BB" w:rsidRPr="00EA2BB7">
        <w:t>.</w:t>
      </w:r>
    </w:p>
    <w:p w14:paraId="688F13B1" w14:textId="5E5AEC8E" w:rsidR="00096776" w:rsidRPr="00EA2BB7" w:rsidRDefault="00096776" w:rsidP="00B151A3">
      <w:pPr>
        <w:pStyle w:val="Text"/>
      </w:pPr>
      <w:r w:rsidRPr="00EA2BB7">
        <w:t>A number of hig</w:t>
      </w:r>
      <w:r w:rsidR="0096025F" w:rsidRPr="00EA2BB7">
        <w:t>h</w:t>
      </w:r>
      <w:r w:rsidRPr="00EA2BB7">
        <w:t>ly conserved KTKEGV motif imperfect repeats are located in the N-terminus</w:t>
      </w:r>
      <w:r w:rsidR="00EF4802" w:rsidRPr="00EA2BB7">
        <w:t xml:space="preserve"> </w:t>
      </w:r>
      <w:r w:rsidR="000A68CF" w:rsidRPr="00EA2BB7">
        <w:t>[</w:t>
      </w:r>
      <w:r w:rsidR="00FA6EDA" w:rsidRPr="00EA2BB7">
        <w:t>13</w:t>
      </w:r>
      <w:r w:rsidR="000A68CF" w:rsidRPr="00EA2BB7">
        <w:t>]</w:t>
      </w:r>
      <w:r w:rsidRPr="00EA2BB7">
        <w:t xml:space="preserve">, with the KTKEGV motif itself </w:t>
      </w:r>
      <w:r w:rsidR="000A68CF" w:rsidRPr="00EA2BB7">
        <w:t>[</w:t>
      </w:r>
      <w:r w:rsidR="00117588" w:rsidRPr="00EA2BB7">
        <w:t>2</w:t>
      </w:r>
      <w:r w:rsidR="000A68CF" w:rsidRPr="00EA2BB7">
        <w:t>]</w:t>
      </w:r>
      <w:r w:rsidRPr="00EA2BB7">
        <w:t xml:space="preserve"> involved in the protein’s tetramerization and the reduction of neurotoxicity.</w:t>
      </w:r>
    </w:p>
    <w:p w14:paraId="3CE7E331" w14:textId="2DC52076" w:rsidR="007E5F82" w:rsidRPr="00EA2BB7" w:rsidRDefault="00EB55E0" w:rsidP="00BF3D62">
      <w:pPr>
        <w:pStyle w:val="Text"/>
      </w:pPr>
      <w:r w:rsidRPr="00EA2BB7">
        <w:t xml:space="preserve">Recently, a </w:t>
      </w:r>
      <w:r w:rsidR="007E5F82" w:rsidRPr="00EA2BB7">
        <w:t xml:space="preserve">seven </w:t>
      </w:r>
      <w:r w:rsidRPr="00EA2BB7">
        <w:t>residue sequence (</w:t>
      </w:r>
      <w:proofErr w:type="spellStart"/>
      <w:r w:rsidR="007E5F82" w:rsidRPr="00EA2BB7">
        <w:t>aminoacids</w:t>
      </w:r>
      <w:proofErr w:type="spellEnd"/>
      <w:r w:rsidRPr="00EA2BB7">
        <w:t xml:space="preserve"> 36</w:t>
      </w:r>
      <w:r w:rsidR="00C87B7B" w:rsidRPr="00C87B7B">
        <w:rPr>
          <w:rFonts w:ascii="Symbol" w:hAnsi="Symbol"/>
        </w:rPr>
        <w:t></w:t>
      </w:r>
      <w:r w:rsidRPr="00EA2BB7">
        <w:t>42)</w:t>
      </w:r>
      <w:r w:rsidR="00853F76" w:rsidRPr="00EA2BB7">
        <w:t xml:space="preserve"> </w:t>
      </w:r>
      <w:r w:rsidR="00793F59" w:rsidRPr="00EA2BB7">
        <w:t>linker region</w:t>
      </w:r>
      <w:r w:rsidR="00853F76" w:rsidRPr="00EA2BB7">
        <w:t xml:space="preserve"> </w:t>
      </w:r>
      <w:r w:rsidRPr="00EA2BB7">
        <w:t>was identified by Brockwel</w:t>
      </w:r>
      <w:r w:rsidR="00A51A67" w:rsidRPr="00EA2BB7">
        <w:t>l’s group</w:t>
      </w:r>
      <w:r w:rsidR="000A68CF" w:rsidRPr="00EA2BB7">
        <w:t xml:space="preserve"> [</w:t>
      </w:r>
      <w:r w:rsidR="00AB6D93" w:rsidRPr="00EA2BB7">
        <w:t>3</w:t>
      </w:r>
      <w:r w:rsidR="000A68CF" w:rsidRPr="00EA2BB7">
        <w:t>]</w:t>
      </w:r>
      <w:r w:rsidR="00C95D66" w:rsidRPr="00EA2BB7">
        <w:t xml:space="preserve"> </w:t>
      </w:r>
      <w:r w:rsidRPr="00EA2BB7">
        <w:t xml:space="preserve">that appears to control the aggregation </w:t>
      </w:r>
      <w:r w:rsidR="00EA2BB7" w:rsidRPr="00C061C1">
        <w:t>behavior</w:t>
      </w:r>
      <w:r w:rsidRPr="00C061C1">
        <w:t xml:space="preserve"> </w:t>
      </w:r>
      <w:r w:rsidRPr="00EA2BB7">
        <w:t xml:space="preserve">of alpha synuclein. </w:t>
      </w:r>
      <w:r w:rsidR="007E5F82" w:rsidRPr="00EA2BB7">
        <w:t>A wide range of aggregation inhibitors have been identified by high throughput screening for</w:t>
      </w:r>
      <w:r w:rsidR="00CD4AEF" w:rsidRPr="00EA2BB7">
        <w:t xml:space="preserve"> the</w:t>
      </w:r>
      <w:r w:rsidR="007E5F82" w:rsidRPr="00EA2BB7">
        <w:t xml:space="preserve"> alpha synuclein</w:t>
      </w:r>
      <w:r w:rsidR="00CD4AEF" w:rsidRPr="00EA2BB7">
        <w:t xml:space="preserve"> monomer</w:t>
      </w:r>
      <w:r w:rsidR="000A68CF" w:rsidRPr="00EA2BB7">
        <w:t xml:space="preserve"> [</w:t>
      </w:r>
      <w:r w:rsidR="00AB6D93" w:rsidRPr="00EA2BB7">
        <w:t>7</w:t>
      </w:r>
      <w:r w:rsidR="000A68CF" w:rsidRPr="00EA2BB7">
        <w:t xml:space="preserve">] </w:t>
      </w:r>
      <w:r w:rsidR="007E5F82" w:rsidRPr="00EA2BB7">
        <w:t>mainly targeting the NAC region.</w:t>
      </w:r>
    </w:p>
    <w:p w14:paraId="7177313B" w14:textId="105526FB" w:rsidR="00D82015" w:rsidRPr="00EA2BB7" w:rsidRDefault="0060173F" w:rsidP="0060173F">
      <w:pPr>
        <w:pStyle w:val="Text"/>
      </w:pPr>
      <w:r w:rsidRPr="00EA2BB7">
        <w:t>Carminic acid was recently shown to inhibit aggregation of human serum albumin</w:t>
      </w:r>
      <w:r w:rsidR="00C938B1" w:rsidRPr="00EA2BB7">
        <w:t xml:space="preserve"> </w:t>
      </w:r>
      <w:r w:rsidR="00C95D66" w:rsidRPr="00EA2BB7">
        <w:t>[</w:t>
      </w:r>
      <w:r w:rsidR="00AB6D93" w:rsidRPr="00EA2BB7">
        <w:t>15</w:t>
      </w:r>
      <w:r w:rsidR="00C95D66" w:rsidRPr="00EA2BB7">
        <w:t xml:space="preserve">]. </w:t>
      </w:r>
      <w:r w:rsidR="00EB55E0" w:rsidRPr="00EA2BB7">
        <w:t xml:space="preserve">In the present study, </w:t>
      </w:r>
      <w:r w:rsidR="00D8729E" w:rsidRPr="00EA2BB7">
        <w:t xml:space="preserve">using various </w:t>
      </w:r>
      <w:r w:rsidR="00D8729E" w:rsidRPr="00EA2BB7">
        <w:rPr>
          <w:i/>
          <w:iCs/>
        </w:rPr>
        <w:t>in silico</w:t>
      </w:r>
      <w:r w:rsidR="00D8729E" w:rsidRPr="00EA2BB7">
        <w:t xml:space="preserve"> methods, </w:t>
      </w:r>
      <w:r w:rsidR="00EB55E0" w:rsidRPr="00EA2BB7">
        <w:t>our aim</w:t>
      </w:r>
      <w:r w:rsidR="001B11C4" w:rsidRPr="00EA2BB7">
        <w:t>s are</w:t>
      </w:r>
      <w:r w:rsidR="00DF50A9" w:rsidRPr="00EA2BB7">
        <w:t>: (</w:t>
      </w:r>
      <w:r w:rsidR="00BF3D62" w:rsidRPr="00EA2BB7">
        <w:t>1</w:t>
      </w:r>
      <w:r w:rsidR="00DF50A9" w:rsidRPr="00EA2BB7">
        <w:t>) to evaluate the binding affinities</w:t>
      </w:r>
      <w:r w:rsidR="00EB55E0" w:rsidRPr="00EA2BB7">
        <w:t xml:space="preserve"> of </w:t>
      </w:r>
      <w:r w:rsidR="00931D97" w:rsidRPr="00EA2BB7">
        <w:t>anthraquinone derivatives carminic</w:t>
      </w:r>
      <w:r w:rsidR="001368B4" w:rsidRPr="00EA2BB7">
        <w:t>,</w:t>
      </w:r>
      <w:r w:rsidR="00EB55E0" w:rsidRPr="00EA2BB7">
        <w:t xml:space="preserve"> </w:t>
      </w:r>
      <w:proofErr w:type="spellStart"/>
      <w:r w:rsidR="00EB55E0" w:rsidRPr="00EA2BB7">
        <w:t>laccaic</w:t>
      </w:r>
      <w:proofErr w:type="spellEnd"/>
      <w:r w:rsidR="00EB55E0" w:rsidRPr="00EA2BB7">
        <w:t xml:space="preserve"> and </w:t>
      </w:r>
      <w:proofErr w:type="spellStart"/>
      <w:r w:rsidR="00EB55E0" w:rsidRPr="00EA2BB7">
        <w:t>kermesic</w:t>
      </w:r>
      <w:proofErr w:type="spellEnd"/>
      <w:r w:rsidR="00EB55E0" w:rsidRPr="00EA2BB7">
        <w:t xml:space="preserve"> acid</w:t>
      </w:r>
      <w:r w:rsidR="00DF50A9" w:rsidRPr="00EA2BB7">
        <w:t xml:space="preserve"> on alpha</w:t>
      </w:r>
      <w:r w:rsidR="00BF3D62" w:rsidRPr="00EA2BB7">
        <w:t xml:space="preserve"> </w:t>
      </w:r>
      <w:r w:rsidR="00DF50A9" w:rsidRPr="00EA2BB7">
        <w:t>synuclein</w:t>
      </w:r>
      <w:r w:rsidR="00EB55E0" w:rsidRPr="00EA2BB7">
        <w:t xml:space="preserve"> using a blind molecular docking approach</w:t>
      </w:r>
      <w:r w:rsidR="00467722" w:rsidRPr="00EA2BB7">
        <w:t>,</w:t>
      </w:r>
      <w:r w:rsidR="00BF3D62" w:rsidRPr="00EA2BB7">
        <w:t xml:space="preserve"> (2</w:t>
      </w:r>
      <w:r w:rsidR="00125FC2" w:rsidRPr="00EA2BB7">
        <w:t>) to evaluate the ADME</w:t>
      </w:r>
      <w:r w:rsidR="00BF3D62" w:rsidRPr="00EA2BB7">
        <w:t xml:space="preserve"> (</w:t>
      </w:r>
      <w:r w:rsidR="00BF3D62" w:rsidRPr="00EA2BB7">
        <w:rPr>
          <w:rStyle w:val="fontstyle01"/>
          <w:color w:val="auto"/>
        </w:rPr>
        <w:t>absorption, distribution, metabolism, excretion</w:t>
      </w:r>
      <w:r w:rsidR="00BF3D62" w:rsidRPr="00EA2BB7">
        <w:t xml:space="preserve">) profile of carminic, </w:t>
      </w:r>
      <w:proofErr w:type="spellStart"/>
      <w:r w:rsidR="00BF3D62" w:rsidRPr="00EA2BB7">
        <w:t>kermesic</w:t>
      </w:r>
      <w:proofErr w:type="spellEnd"/>
      <w:r w:rsidR="00BF3D62" w:rsidRPr="00EA2BB7">
        <w:t xml:space="preserve"> and </w:t>
      </w:r>
      <w:proofErr w:type="spellStart"/>
      <w:r w:rsidR="00BF3D62" w:rsidRPr="00EA2BB7">
        <w:t>laccaic</w:t>
      </w:r>
      <w:proofErr w:type="spellEnd"/>
      <w:r w:rsidR="00BF3D62" w:rsidRPr="00EA2BB7">
        <w:t xml:space="preserve"> acid</w:t>
      </w:r>
      <w:r w:rsidR="00467722" w:rsidRPr="00EA2BB7">
        <w:t>,</w:t>
      </w:r>
      <w:r w:rsidR="00BF3D62" w:rsidRPr="00EA2BB7">
        <w:t xml:space="preserve"> and (3) to evaluate the </w:t>
      </w:r>
      <w:r w:rsidR="00BF3D62" w:rsidRPr="00C061C1">
        <w:t>drug-likeness</w:t>
      </w:r>
      <w:r w:rsidR="003B6C92" w:rsidRPr="00C061C1">
        <w:t xml:space="preserve"> </w:t>
      </w:r>
      <w:r w:rsidR="00BF3D62" w:rsidRPr="00EA2BB7">
        <w:t>of the given molecules</w:t>
      </w:r>
      <w:r w:rsidR="00EB55E0" w:rsidRPr="00EA2BB7">
        <w:t xml:space="preserve">. </w:t>
      </w:r>
    </w:p>
    <w:p w14:paraId="5F39953B" w14:textId="58028B05" w:rsidR="00B151A3" w:rsidRPr="00EA2BB7" w:rsidRDefault="00B151A3" w:rsidP="00B151A3">
      <w:pPr>
        <w:pStyle w:val="Chapter"/>
      </w:pPr>
      <w:r w:rsidRPr="00EA2BB7">
        <w:t xml:space="preserve">materials and methods </w:t>
      </w:r>
    </w:p>
    <w:p w14:paraId="14FF5115" w14:textId="4A1EAAD3" w:rsidR="00924B9B" w:rsidRPr="00EA2BB7" w:rsidRDefault="00924B9B" w:rsidP="00924B9B">
      <w:pPr>
        <w:pStyle w:val="Text"/>
      </w:pPr>
      <w:r w:rsidRPr="00EA2BB7">
        <w:t xml:space="preserve">The structures of </w:t>
      </w:r>
      <w:r w:rsidR="001777E2" w:rsidRPr="00EA2BB7">
        <w:t xml:space="preserve">the anthraquinone derivatives </w:t>
      </w:r>
      <w:r w:rsidRPr="00EA2BB7">
        <w:t xml:space="preserve">carminic acid, </w:t>
      </w:r>
      <w:proofErr w:type="spellStart"/>
      <w:r w:rsidRPr="00EA2BB7">
        <w:t>kermesic</w:t>
      </w:r>
      <w:proofErr w:type="spellEnd"/>
      <w:r w:rsidRPr="00EA2BB7">
        <w:t xml:space="preserve"> acid and </w:t>
      </w:r>
      <w:proofErr w:type="spellStart"/>
      <w:r w:rsidRPr="00EA2BB7">
        <w:t>laccaic</w:t>
      </w:r>
      <w:proofErr w:type="spellEnd"/>
      <w:r w:rsidRPr="00EA2BB7">
        <w:t xml:space="preserve"> acid were downloaded from the PubChem database </w:t>
      </w:r>
      <w:r w:rsidR="00835E91" w:rsidRPr="00EA2BB7">
        <w:t>[11]</w:t>
      </w:r>
      <w:r w:rsidR="00D76E2D" w:rsidRPr="00EA2BB7">
        <w:t xml:space="preserve"> in </w:t>
      </w:r>
      <w:r w:rsidR="00B92DDB" w:rsidRPr="00EA2BB7">
        <w:t xml:space="preserve">SDF </w:t>
      </w:r>
      <w:r w:rsidR="001777E2" w:rsidRPr="00EA2BB7">
        <w:t>(Spatial Data File)</w:t>
      </w:r>
      <w:r w:rsidRPr="00EA2BB7">
        <w:t xml:space="preserve"> format. The files were </w:t>
      </w:r>
      <w:r w:rsidR="001777E2" w:rsidRPr="00EA2BB7">
        <w:t xml:space="preserve">then </w:t>
      </w:r>
      <w:r w:rsidRPr="00EA2BB7">
        <w:t xml:space="preserve">converted to the </w:t>
      </w:r>
      <w:r w:rsidR="00B92DDB" w:rsidRPr="00EA2BB7">
        <w:t>PDB</w:t>
      </w:r>
      <w:r w:rsidR="001777E2" w:rsidRPr="00EA2BB7">
        <w:t xml:space="preserve"> (Protein Data Bank)</w:t>
      </w:r>
      <w:r w:rsidRPr="00EA2BB7">
        <w:t xml:space="preserve"> </w:t>
      </w:r>
      <w:r w:rsidR="00F66955" w:rsidRPr="00EA2BB7">
        <w:t>and SMILES (</w:t>
      </w:r>
      <w:r w:rsidR="00F66955" w:rsidRPr="00EA2BB7">
        <w:rPr>
          <w:rStyle w:val="fontstyle01"/>
          <w:color w:val="auto"/>
        </w:rPr>
        <w:t>Simplified Molecular Input Line Entry System</w:t>
      </w:r>
      <w:r w:rsidR="00F66955" w:rsidRPr="00EA2BB7">
        <w:t xml:space="preserve">) </w:t>
      </w:r>
      <w:r w:rsidRPr="00EA2BB7">
        <w:t xml:space="preserve">format using </w:t>
      </w:r>
      <w:r w:rsidR="001777E2" w:rsidRPr="00EA2BB7">
        <w:t xml:space="preserve">the online </w:t>
      </w:r>
      <w:proofErr w:type="spellStart"/>
      <w:r w:rsidR="001777E2" w:rsidRPr="00EA2BB7">
        <w:t>OpenBabel</w:t>
      </w:r>
      <w:proofErr w:type="spellEnd"/>
      <w:r w:rsidR="001777E2" w:rsidRPr="00EA2BB7">
        <w:t xml:space="preserve"> conversion </w:t>
      </w:r>
      <w:r w:rsidRPr="00EA2BB7">
        <w:t>tools</w:t>
      </w:r>
      <w:r w:rsidR="00835E91" w:rsidRPr="00EA2BB7">
        <w:t xml:space="preserve"> [1</w:t>
      </w:r>
      <w:r w:rsidR="00AB6D93" w:rsidRPr="00EA2BB7">
        <w:t>0</w:t>
      </w:r>
      <w:r w:rsidR="00835E91" w:rsidRPr="00EA2BB7">
        <w:t>]</w:t>
      </w:r>
      <w:r w:rsidR="00467722" w:rsidRPr="00EA2BB7">
        <w:t>.</w:t>
      </w:r>
      <w:r w:rsidR="00D76E2D" w:rsidRPr="00EA2BB7">
        <w:t xml:space="preserve"> </w:t>
      </w:r>
    </w:p>
    <w:p w14:paraId="1316AEDA" w14:textId="29F33908" w:rsidR="00BC7CFD" w:rsidRPr="00EA2BB7" w:rsidRDefault="00BC7CFD" w:rsidP="00BC7CFD">
      <w:pPr>
        <w:pStyle w:val="Text"/>
      </w:pPr>
      <w:r w:rsidRPr="00EA2BB7">
        <w:t xml:space="preserve">The structure of human alpha synuclein, covering the full sequence of the protein (PDB ID: 1XQ8) was downloaded from the Protein Data Bank </w:t>
      </w:r>
      <w:r w:rsidR="00835E91" w:rsidRPr="00EA2BB7">
        <w:t>[1</w:t>
      </w:r>
      <w:r w:rsidR="00AB6D93" w:rsidRPr="00EA2BB7">
        <w:t>4</w:t>
      </w:r>
      <w:r w:rsidR="00835E91" w:rsidRPr="00EA2BB7">
        <w:t>]</w:t>
      </w:r>
      <w:r w:rsidRPr="00EA2BB7">
        <w:t xml:space="preserve"> and the first (lowest energy)</w:t>
      </w:r>
      <w:r w:rsidR="00DD17C7" w:rsidRPr="00EA2BB7">
        <w:t xml:space="preserve"> NMR</w:t>
      </w:r>
      <w:r w:rsidRPr="00EA2BB7">
        <w:t xml:space="preserve"> conformer was used in the subsequent docking runs.</w:t>
      </w:r>
    </w:p>
    <w:p w14:paraId="69BDD4CA" w14:textId="2D46ABA5" w:rsidR="00C03602" w:rsidRPr="00EA2BB7" w:rsidRDefault="00884332" w:rsidP="00C03602">
      <w:pPr>
        <w:pStyle w:val="Text"/>
        <w:ind w:firstLine="0"/>
      </w:pPr>
      <w:r w:rsidRPr="00EA2BB7">
        <w:t xml:space="preserve">Further, the generated files were visually inspected for potential structural errors and minimized </w:t>
      </w:r>
      <w:r w:rsidR="009041C0" w:rsidRPr="00EA2BB7">
        <w:t>using Swiss PDB Viewer</w:t>
      </w:r>
      <w:r w:rsidR="00835E91" w:rsidRPr="00EA2BB7">
        <w:t xml:space="preserve"> version 4.1 [</w:t>
      </w:r>
      <w:r w:rsidR="00AB6D93" w:rsidRPr="00EA2BB7">
        <w:t>6</w:t>
      </w:r>
      <w:r w:rsidR="00835E91" w:rsidRPr="00EA2BB7">
        <w:t xml:space="preserve">] </w:t>
      </w:r>
      <w:r w:rsidRPr="00EA2BB7">
        <w:t xml:space="preserve">to remove any possible </w:t>
      </w:r>
      <w:r w:rsidR="00125FC2" w:rsidRPr="00EA2BB7">
        <w:t>geometrical imperfections</w:t>
      </w:r>
      <w:r w:rsidRPr="00EA2BB7">
        <w:t xml:space="preserve"> resulting from the conversion, and both protein and ligand </w:t>
      </w:r>
      <w:r w:rsidRPr="00EA2BB7">
        <w:lastRenderedPageBreak/>
        <w:t xml:space="preserve">files were </w:t>
      </w:r>
      <w:r w:rsidR="00125FC2" w:rsidRPr="00EA2BB7">
        <w:t>submitted to</w:t>
      </w:r>
      <w:r w:rsidRPr="00EA2BB7">
        <w:t xml:space="preserve"> MGL Tools version </w:t>
      </w:r>
      <w:r w:rsidR="0015341F" w:rsidRPr="00EA2BB7">
        <w:t>1.5.7.rc1</w:t>
      </w:r>
      <w:r w:rsidR="00125FC2" w:rsidRPr="00EA2BB7">
        <w:t>. D</w:t>
      </w:r>
      <w:r w:rsidRPr="00EA2BB7">
        <w:t>ocking runs were</w:t>
      </w:r>
      <w:r w:rsidR="00470849" w:rsidRPr="00EA2BB7">
        <w:t xml:space="preserve"> performed using </w:t>
      </w:r>
      <w:proofErr w:type="spellStart"/>
      <w:r w:rsidR="00470849" w:rsidRPr="00EA2BB7">
        <w:t>Autodock</w:t>
      </w:r>
      <w:proofErr w:type="spellEnd"/>
      <w:r w:rsidR="00470849" w:rsidRPr="00EA2BB7">
        <w:t xml:space="preserve"> </w:t>
      </w:r>
      <w:r w:rsidRPr="00EA2BB7">
        <w:t>Vina ver</w:t>
      </w:r>
      <w:r w:rsidR="00B54E76" w:rsidRPr="00EA2BB7">
        <w:t>sion 1.1.2</w:t>
      </w:r>
      <w:r w:rsidR="00835E91" w:rsidRPr="00EA2BB7">
        <w:t xml:space="preserve"> [</w:t>
      </w:r>
      <w:r w:rsidR="00AB6D93" w:rsidRPr="00EA2BB7">
        <w:t>12</w:t>
      </w:r>
      <w:r w:rsidR="00835E91" w:rsidRPr="00EA2BB7">
        <w:t>]</w:t>
      </w:r>
      <w:r w:rsidR="001B4242" w:rsidRPr="00EA2BB7">
        <w:t>,</w:t>
      </w:r>
      <w:r w:rsidR="00B54E76" w:rsidRPr="00EA2BB7">
        <w:t xml:space="preserve"> u</w:t>
      </w:r>
      <w:r w:rsidR="00125FC2" w:rsidRPr="00EA2BB7">
        <w:t>sing</w:t>
      </w:r>
      <w:r w:rsidRPr="00EA2BB7">
        <w:t xml:space="preserve"> standard docking parameters (</w:t>
      </w:r>
      <w:r w:rsidR="00F90502" w:rsidRPr="00311E0C">
        <w:t>exhaustiveness</w:t>
      </w:r>
      <w:r w:rsidR="00752B39" w:rsidRPr="00311E0C">
        <w:t xml:space="preserve"> </w:t>
      </w:r>
      <w:r w:rsidRPr="00EA2BB7">
        <w:t>= 8, number of generated hits</w:t>
      </w:r>
      <w:r w:rsidR="00467722" w:rsidRPr="00EA2BB7">
        <w:t xml:space="preserve"> </w:t>
      </w:r>
      <w:r w:rsidRPr="00EA2BB7">
        <w:t>=</w:t>
      </w:r>
      <w:r w:rsidR="00467722" w:rsidRPr="00EA2BB7">
        <w:t xml:space="preserve"> </w:t>
      </w:r>
      <w:r w:rsidR="00125FC2" w:rsidRPr="00EA2BB7">
        <w:t>9</w:t>
      </w:r>
      <w:r w:rsidRPr="00EA2BB7">
        <w:t>). The generated files were vi</w:t>
      </w:r>
      <w:r w:rsidR="00470849" w:rsidRPr="00EA2BB7">
        <w:t>s</w:t>
      </w:r>
      <w:r w:rsidRPr="00EA2BB7">
        <w:t>uali</w:t>
      </w:r>
      <w:r w:rsidR="00470849" w:rsidRPr="00EA2BB7">
        <w:t>z</w:t>
      </w:r>
      <w:r w:rsidRPr="00EA2BB7">
        <w:t xml:space="preserve">ed with </w:t>
      </w:r>
      <w:proofErr w:type="spellStart"/>
      <w:r w:rsidR="00835E91" w:rsidRPr="00EA2BB7">
        <w:t>PyMOL</w:t>
      </w:r>
      <w:proofErr w:type="spellEnd"/>
      <w:r w:rsidR="00835E91" w:rsidRPr="00EA2BB7">
        <w:t xml:space="preserve"> Molecular Graphics System, Version 1.</w:t>
      </w:r>
      <w:r w:rsidR="00757821" w:rsidRPr="00EA2BB7">
        <w:t>7.4</w:t>
      </w:r>
      <w:r w:rsidR="00835E91" w:rsidRPr="00EA2BB7">
        <w:t>, Schrödinger, LLC</w:t>
      </w:r>
      <w:r w:rsidR="00C95D66" w:rsidRPr="00EA2BB7">
        <w:t>, New York,</w:t>
      </w:r>
      <w:r w:rsidRPr="00EA2BB7">
        <w:t xml:space="preserve"> and interaction diagra</w:t>
      </w:r>
      <w:r w:rsidR="003A5927" w:rsidRPr="00EA2BB7">
        <w:t xml:space="preserve">ms were obtained using </w:t>
      </w:r>
      <w:proofErr w:type="spellStart"/>
      <w:r w:rsidR="003A5927" w:rsidRPr="00EA2BB7">
        <w:t>LigPlot</w:t>
      </w:r>
      <w:proofErr w:type="spellEnd"/>
      <w:r w:rsidR="003A5927" w:rsidRPr="00EA2BB7">
        <w:t>+</w:t>
      </w:r>
      <w:r w:rsidR="00467722" w:rsidRPr="00EA2BB7">
        <w:t xml:space="preserve"> </w:t>
      </w:r>
      <w:r w:rsidR="00757821" w:rsidRPr="00EA2BB7">
        <w:t>[</w:t>
      </w:r>
      <w:r w:rsidR="00AB6D93" w:rsidRPr="00EA2BB7">
        <w:t>9</w:t>
      </w:r>
      <w:r w:rsidR="00757821" w:rsidRPr="00EA2BB7">
        <w:t>]</w:t>
      </w:r>
      <w:r w:rsidR="00467722" w:rsidRPr="00EA2BB7">
        <w:t>.</w:t>
      </w:r>
    </w:p>
    <w:p w14:paraId="39DC2C78" w14:textId="3DBB2F97" w:rsidR="00C762DE" w:rsidRPr="00EA2BB7" w:rsidRDefault="00C762DE" w:rsidP="00C762DE">
      <w:pPr>
        <w:pStyle w:val="Tableno"/>
      </w:pPr>
      <w:r w:rsidRPr="00EA2BB7">
        <w:t xml:space="preserve"> Table 1 </w:t>
      </w:r>
    </w:p>
    <w:p w14:paraId="4EA2D926" w14:textId="1A199D13" w:rsidR="00C762DE" w:rsidRPr="00EA2BB7" w:rsidRDefault="00C762DE" w:rsidP="00C762DE">
      <w:pPr>
        <w:pStyle w:val="Tabletitle"/>
      </w:pPr>
      <w:r w:rsidRPr="00EA2BB7">
        <w:t>Anthraquinone derivates, with corresponding chemical structures and SMILES codes</w:t>
      </w:r>
    </w:p>
    <w:p w14:paraId="4094EA40" w14:textId="77777777" w:rsidR="00433C57" w:rsidRPr="00EA2BB7" w:rsidRDefault="00433C57" w:rsidP="00C03602">
      <w:pPr>
        <w:pStyle w:val="Text"/>
        <w:ind w:firstLine="0"/>
      </w:pPr>
    </w:p>
    <w:tbl>
      <w:tblPr>
        <w:tblStyle w:val="TableGrid"/>
        <w:tblW w:w="7139" w:type="dxa"/>
        <w:jc w:val="center"/>
        <w:tblLayout w:type="fixed"/>
        <w:tblLook w:val="04A0" w:firstRow="1" w:lastRow="0" w:firstColumn="1" w:lastColumn="0" w:noHBand="0" w:noVBand="1"/>
      </w:tblPr>
      <w:tblGrid>
        <w:gridCol w:w="1321"/>
        <w:gridCol w:w="2328"/>
        <w:gridCol w:w="3490"/>
      </w:tblGrid>
      <w:tr w:rsidR="00C34D41" w:rsidRPr="00EA2BB7" w14:paraId="60AFFECC" w14:textId="77777777" w:rsidTr="000A05D5">
        <w:trPr>
          <w:trHeight w:val="323"/>
          <w:jc w:val="center"/>
        </w:trPr>
        <w:tc>
          <w:tcPr>
            <w:tcW w:w="1321" w:type="dxa"/>
            <w:shd w:val="clear" w:color="auto" w:fill="F2F2F2" w:themeFill="background1" w:themeFillShade="F2"/>
          </w:tcPr>
          <w:p w14:paraId="0A66B423" w14:textId="13B67A90" w:rsidR="00D82513" w:rsidRPr="00EA2BB7" w:rsidRDefault="00D82513" w:rsidP="00D82513">
            <w:pPr>
              <w:pStyle w:val="Text"/>
              <w:ind w:firstLine="0"/>
              <w:jc w:val="center"/>
            </w:pPr>
            <w:r w:rsidRPr="00EA2BB7">
              <w:t>Name</w:t>
            </w:r>
          </w:p>
        </w:tc>
        <w:tc>
          <w:tcPr>
            <w:tcW w:w="2328" w:type="dxa"/>
            <w:shd w:val="clear" w:color="auto" w:fill="F2F2F2" w:themeFill="background1" w:themeFillShade="F2"/>
          </w:tcPr>
          <w:p w14:paraId="211951C6" w14:textId="50996756" w:rsidR="00D82513" w:rsidRPr="00EA2BB7" w:rsidRDefault="00D82513" w:rsidP="00D82513">
            <w:pPr>
              <w:pStyle w:val="Text"/>
              <w:ind w:firstLine="0"/>
              <w:jc w:val="center"/>
            </w:pPr>
            <w:r w:rsidRPr="00EA2BB7">
              <w:t>Structure</w:t>
            </w:r>
          </w:p>
        </w:tc>
        <w:tc>
          <w:tcPr>
            <w:tcW w:w="3490" w:type="dxa"/>
            <w:shd w:val="clear" w:color="auto" w:fill="F2F2F2" w:themeFill="background1" w:themeFillShade="F2"/>
          </w:tcPr>
          <w:p w14:paraId="6362CF1A" w14:textId="447957D5" w:rsidR="00D82513" w:rsidRPr="00EA2BB7" w:rsidRDefault="00D82513" w:rsidP="00D82513">
            <w:pPr>
              <w:pStyle w:val="Text"/>
              <w:ind w:firstLine="0"/>
              <w:jc w:val="center"/>
            </w:pPr>
            <w:r w:rsidRPr="00EA2BB7">
              <w:t>SMILES code</w:t>
            </w:r>
          </w:p>
        </w:tc>
      </w:tr>
      <w:tr w:rsidR="00C34D41" w:rsidRPr="00EA2BB7" w14:paraId="0780841E" w14:textId="77777777" w:rsidTr="00CA2420">
        <w:trPr>
          <w:trHeight w:val="1376"/>
          <w:jc w:val="center"/>
        </w:trPr>
        <w:tc>
          <w:tcPr>
            <w:tcW w:w="1321" w:type="dxa"/>
            <w:vAlign w:val="center"/>
          </w:tcPr>
          <w:p w14:paraId="473FC0EE" w14:textId="63714DA5" w:rsidR="00D82513" w:rsidRPr="00EA2BB7" w:rsidRDefault="00D82513" w:rsidP="00B771AF">
            <w:pPr>
              <w:pStyle w:val="Text"/>
              <w:ind w:firstLine="0"/>
              <w:jc w:val="center"/>
            </w:pPr>
            <w:r w:rsidRPr="00EA2BB7">
              <w:t>Carminic acid</w:t>
            </w:r>
          </w:p>
        </w:tc>
        <w:tc>
          <w:tcPr>
            <w:tcW w:w="2328" w:type="dxa"/>
          </w:tcPr>
          <w:p w14:paraId="73D950E3" w14:textId="58AD6A9D" w:rsidR="00D82513" w:rsidRPr="00EA2BB7" w:rsidRDefault="000A05D5" w:rsidP="00C03602">
            <w:pPr>
              <w:pStyle w:val="Text"/>
              <w:ind w:firstLine="0"/>
            </w:pPr>
            <w:r>
              <w:rPr>
                <w:noProof/>
              </w:rPr>
              <w:drawing>
                <wp:anchor distT="0" distB="0" distL="114300" distR="114300" simplePos="0" relativeHeight="251673088" behindDoc="1" locked="0" layoutInCell="1" allowOverlap="1" wp14:anchorId="0FDFE546" wp14:editId="4E84B9E0">
                  <wp:simplePos x="0" y="0"/>
                  <wp:positionH relativeFrom="column">
                    <wp:posOffset>-8467</wp:posOffset>
                  </wp:positionH>
                  <wp:positionV relativeFrom="paragraph">
                    <wp:posOffset>56304</wp:posOffset>
                  </wp:positionV>
                  <wp:extent cx="1394233" cy="775547"/>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minic_acid_500.png"/>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1394233" cy="775547"/>
                          </a:xfrm>
                          <a:prstGeom prst="rect">
                            <a:avLst/>
                          </a:prstGeom>
                        </pic:spPr>
                      </pic:pic>
                    </a:graphicData>
                  </a:graphic>
                </wp:anchor>
              </w:drawing>
            </w:r>
          </w:p>
        </w:tc>
        <w:tc>
          <w:tcPr>
            <w:tcW w:w="3490" w:type="dxa"/>
            <w:vAlign w:val="center"/>
          </w:tcPr>
          <w:p w14:paraId="3D9FD362" w14:textId="77777777" w:rsidR="00D82513" w:rsidRPr="00EA2BB7" w:rsidRDefault="00D82513" w:rsidP="00B771AF">
            <w:pPr>
              <w:pStyle w:val="Text"/>
              <w:ind w:firstLine="0"/>
              <w:jc w:val="center"/>
              <w:rPr>
                <w:sz w:val="20"/>
              </w:rPr>
            </w:pPr>
            <w:r w:rsidRPr="00EA2BB7">
              <w:rPr>
                <w:sz w:val="20"/>
              </w:rPr>
              <w:t>CC1=C2C(=CC(=C1C(=O)O)O)C(=O)C3=C(C2=O)C(=C(C(=C3O)O)C4C(C(C(C(O4)CO)O)O)O)O</w:t>
            </w:r>
          </w:p>
          <w:p w14:paraId="7300F9EA" w14:textId="1809F68E" w:rsidR="00D82513" w:rsidRPr="00EA2BB7" w:rsidRDefault="00D82513" w:rsidP="00B771AF">
            <w:pPr>
              <w:pStyle w:val="Text"/>
              <w:ind w:firstLine="0"/>
              <w:jc w:val="center"/>
              <w:rPr>
                <w:sz w:val="20"/>
              </w:rPr>
            </w:pPr>
          </w:p>
        </w:tc>
      </w:tr>
      <w:tr w:rsidR="00C34D41" w:rsidRPr="00EA2BB7" w14:paraId="3C0D62FC" w14:textId="77777777" w:rsidTr="00CA2420">
        <w:trPr>
          <w:trHeight w:val="1250"/>
          <w:jc w:val="center"/>
        </w:trPr>
        <w:tc>
          <w:tcPr>
            <w:tcW w:w="1321" w:type="dxa"/>
            <w:vAlign w:val="center"/>
          </w:tcPr>
          <w:p w14:paraId="3D6D1634" w14:textId="0F4459FD" w:rsidR="00D82513" w:rsidRPr="00EA2BB7" w:rsidRDefault="00D82513" w:rsidP="00B771AF">
            <w:pPr>
              <w:pStyle w:val="Text"/>
              <w:ind w:firstLine="0"/>
              <w:jc w:val="center"/>
            </w:pPr>
            <w:proofErr w:type="spellStart"/>
            <w:r w:rsidRPr="00EA2BB7">
              <w:t>Kermesic</w:t>
            </w:r>
            <w:proofErr w:type="spellEnd"/>
            <w:r w:rsidRPr="00EA2BB7">
              <w:t xml:space="preserve"> acid</w:t>
            </w:r>
          </w:p>
        </w:tc>
        <w:tc>
          <w:tcPr>
            <w:tcW w:w="2328" w:type="dxa"/>
          </w:tcPr>
          <w:p w14:paraId="1CF9AEDF" w14:textId="1B45DB77" w:rsidR="00D82513" w:rsidRPr="00EA2BB7" w:rsidRDefault="000A05D5" w:rsidP="00C03602">
            <w:pPr>
              <w:pStyle w:val="Text"/>
              <w:ind w:firstLine="0"/>
            </w:pPr>
            <w:r>
              <w:rPr>
                <w:noProof/>
              </w:rPr>
              <w:drawing>
                <wp:anchor distT="0" distB="0" distL="114300" distR="114300" simplePos="0" relativeHeight="251672064" behindDoc="1" locked="0" layoutInCell="1" allowOverlap="1" wp14:anchorId="620114EF" wp14:editId="07814E25">
                  <wp:simplePos x="0" y="0"/>
                  <wp:positionH relativeFrom="column">
                    <wp:posOffset>-16933</wp:posOffset>
                  </wp:positionH>
                  <wp:positionV relativeFrom="paragraph">
                    <wp:posOffset>43603</wp:posOffset>
                  </wp:positionV>
                  <wp:extent cx="1381835" cy="685800"/>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mesic_Acid_500.png"/>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1381835" cy="685800"/>
                          </a:xfrm>
                          <a:prstGeom prst="rect">
                            <a:avLst/>
                          </a:prstGeom>
                        </pic:spPr>
                      </pic:pic>
                    </a:graphicData>
                  </a:graphic>
                </wp:anchor>
              </w:drawing>
            </w:r>
          </w:p>
        </w:tc>
        <w:tc>
          <w:tcPr>
            <w:tcW w:w="3490" w:type="dxa"/>
            <w:vAlign w:val="center"/>
          </w:tcPr>
          <w:p w14:paraId="59C9D751" w14:textId="77777777" w:rsidR="00D82513" w:rsidRPr="00EA2BB7" w:rsidRDefault="00D82513" w:rsidP="00B771AF">
            <w:pPr>
              <w:pStyle w:val="Text"/>
              <w:ind w:firstLine="0"/>
              <w:jc w:val="center"/>
              <w:rPr>
                <w:sz w:val="20"/>
              </w:rPr>
            </w:pPr>
            <w:r w:rsidRPr="00EA2BB7">
              <w:rPr>
                <w:sz w:val="20"/>
              </w:rPr>
              <w:t>CC1=C2C(=CC(=C1C(=O)O)O)C(=O)C3=C(C2=O)C(=CC(=C3O)O)O</w:t>
            </w:r>
          </w:p>
          <w:p w14:paraId="31B65CA8" w14:textId="77777777" w:rsidR="00D82513" w:rsidRPr="00EA2BB7" w:rsidRDefault="00D82513" w:rsidP="00B771AF">
            <w:pPr>
              <w:pStyle w:val="Text"/>
              <w:ind w:firstLine="0"/>
              <w:jc w:val="center"/>
              <w:rPr>
                <w:sz w:val="20"/>
              </w:rPr>
            </w:pPr>
          </w:p>
        </w:tc>
      </w:tr>
      <w:tr w:rsidR="00D82513" w:rsidRPr="00EA2BB7" w14:paraId="140DA95E" w14:textId="77777777" w:rsidTr="000A05D5">
        <w:trPr>
          <w:trHeight w:val="1097"/>
          <w:jc w:val="center"/>
        </w:trPr>
        <w:tc>
          <w:tcPr>
            <w:tcW w:w="1321" w:type="dxa"/>
            <w:vAlign w:val="center"/>
          </w:tcPr>
          <w:p w14:paraId="2743B025" w14:textId="614DC229" w:rsidR="00D82513" w:rsidRPr="00EA2BB7" w:rsidRDefault="00D82513" w:rsidP="00B771AF">
            <w:pPr>
              <w:pStyle w:val="Text"/>
              <w:ind w:firstLine="0"/>
              <w:jc w:val="center"/>
            </w:pPr>
            <w:proofErr w:type="spellStart"/>
            <w:r w:rsidRPr="00EA2BB7">
              <w:t>Laccaic</w:t>
            </w:r>
            <w:proofErr w:type="spellEnd"/>
            <w:r w:rsidRPr="00EA2BB7">
              <w:t xml:space="preserve"> acid</w:t>
            </w:r>
          </w:p>
        </w:tc>
        <w:tc>
          <w:tcPr>
            <w:tcW w:w="2328" w:type="dxa"/>
          </w:tcPr>
          <w:p w14:paraId="6AC946F8" w14:textId="67A35BD0" w:rsidR="00D82513" w:rsidRPr="00EA2BB7" w:rsidRDefault="000A05D5" w:rsidP="00C03602">
            <w:pPr>
              <w:pStyle w:val="Text"/>
              <w:ind w:firstLine="0"/>
            </w:pPr>
            <w:r>
              <w:rPr>
                <w:noProof/>
              </w:rPr>
              <w:drawing>
                <wp:anchor distT="0" distB="0" distL="114300" distR="114300" simplePos="0" relativeHeight="251671040" behindDoc="1" locked="0" layoutInCell="1" allowOverlap="1" wp14:anchorId="01062809" wp14:editId="6C9357B7">
                  <wp:simplePos x="0" y="0"/>
                  <wp:positionH relativeFrom="column">
                    <wp:posOffset>212</wp:posOffset>
                  </wp:positionH>
                  <wp:positionV relativeFrom="paragraph">
                    <wp:posOffset>-635</wp:posOffset>
                  </wp:positionV>
                  <wp:extent cx="1282065" cy="71306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que_500.png"/>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1282065" cy="713064"/>
                          </a:xfrm>
                          <a:prstGeom prst="rect">
                            <a:avLst/>
                          </a:prstGeom>
                        </pic:spPr>
                      </pic:pic>
                    </a:graphicData>
                  </a:graphic>
                </wp:anchor>
              </w:drawing>
            </w:r>
          </w:p>
        </w:tc>
        <w:tc>
          <w:tcPr>
            <w:tcW w:w="3490" w:type="dxa"/>
            <w:vAlign w:val="center"/>
          </w:tcPr>
          <w:p w14:paraId="46B47587" w14:textId="514461FA" w:rsidR="00D82513" w:rsidRPr="00EA2BB7" w:rsidRDefault="00D82513" w:rsidP="00B771AF">
            <w:pPr>
              <w:pStyle w:val="Text"/>
              <w:ind w:firstLine="0"/>
              <w:jc w:val="center"/>
              <w:rPr>
                <w:sz w:val="20"/>
              </w:rPr>
            </w:pPr>
            <w:r w:rsidRPr="00EA2BB7">
              <w:rPr>
                <w:sz w:val="20"/>
              </w:rPr>
              <w:t>CCC1=C(C(=C2C(=C1O)C(=O)C3=CC(=C(C(=C3C2=O)C(=O)O)C(=O)O)O)O)C(=O)C</w:t>
            </w:r>
          </w:p>
        </w:tc>
      </w:tr>
    </w:tbl>
    <w:p w14:paraId="33E0619E" w14:textId="176DF6CB" w:rsidR="000A2BA4" w:rsidRPr="00EA2BB7" w:rsidRDefault="000A2BA4" w:rsidP="00C03602">
      <w:pPr>
        <w:pStyle w:val="Text"/>
        <w:ind w:firstLine="0"/>
      </w:pPr>
    </w:p>
    <w:p w14:paraId="5003B920" w14:textId="76ABB136" w:rsidR="00396F96" w:rsidRPr="00EA2BB7" w:rsidRDefault="00C32C75" w:rsidP="00467722">
      <w:pPr>
        <w:pStyle w:val="Text"/>
      </w:pPr>
      <w:r w:rsidRPr="00EA2BB7">
        <w:t>Further, w</w:t>
      </w:r>
      <w:r w:rsidR="00884332" w:rsidRPr="00EA2BB7">
        <w:t xml:space="preserve">e used the </w:t>
      </w:r>
      <w:proofErr w:type="spellStart"/>
      <w:r w:rsidR="00884332" w:rsidRPr="00EA2BB7">
        <w:t>SwissADME</w:t>
      </w:r>
      <w:proofErr w:type="spellEnd"/>
      <w:r w:rsidR="00884332" w:rsidRPr="00EA2BB7">
        <w:t xml:space="preserve"> web</w:t>
      </w:r>
      <w:r w:rsidR="006F4EFC" w:rsidRPr="00EA2BB7">
        <w:t xml:space="preserve"> </w:t>
      </w:r>
      <w:r w:rsidR="00884332" w:rsidRPr="00EA2BB7">
        <w:t>server</w:t>
      </w:r>
      <w:r w:rsidR="006F4EFC" w:rsidRPr="00EA2BB7">
        <w:t xml:space="preserve"> </w:t>
      </w:r>
      <w:r w:rsidR="00835E91" w:rsidRPr="00EA2BB7">
        <w:t>[</w:t>
      </w:r>
      <w:r w:rsidR="006F4EFC" w:rsidRPr="00EA2BB7">
        <w:t>17</w:t>
      </w:r>
      <w:r w:rsidR="00835E91" w:rsidRPr="00EA2BB7">
        <w:t>]</w:t>
      </w:r>
      <w:r w:rsidRPr="00EA2BB7">
        <w:t xml:space="preserve"> to evaluate the </w:t>
      </w:r>
      <w:r w:rsidR="00884332" w:rsidRPr="00EA2BB7">
        <w:t>a</w:t>
      </w:r>
      <w:r w:rsidR="001777E2" w:rsidRPr="00EA2BB7">
        <w:t>b</w:t>
      </w:r>
      <w:r w:rsidR="00884332" w:rsidRPr="00EA2BB7">
        <w:t>sorption, distribution, me</w:t>
      </w:r>
      <w:r w:rsidRPr="00EA2BB7">
        <w:t>tabolism and excretion</w:t>
      </w:r>
      <w:r w:rsidR="00884332" w:rsidRPr="00EA2BB7">
        <w:t xml:space="preserve"> profile</w:t>
      </w:r>
      <w:r w:rsidRPr="00EA2BB7">
        <w:t xml:space="preserve"> along with drug</w:t>
      </w:r>
      <w:r w:rsidR="001777E2" w:rsidRPr="00EA2BB7">
        <w:t xml:space="preserve"> and lead </w:t>
      </w:r>
      <w:r w:rsidRPr="00EA2BB7">
        <w:t>like</w:t>
      </w:r>
      <w:r w:rsidR="00B96E37" w:rsidRPr="00EA2BB7">
        <w:t>ness</w:t>
      </w:r>
      <w:r w:rsidR="001777E2" w:rsidRPr="00EA2BB7">
        <w:t>, by</w:t>
      </w:r>
      <w:r w:rsidR="00884332" w:rsidRPr="00EA2BB7">
        <w:t xml:space="preserve"> providing the corresponding canonical SMILES codes for each of the three molecules of interest (Table</w:t>
      </w:r>
      <w:r w:rsidR="00C762DE" w:rsidRPr="00EA2BB7">
        <w:t xml:space="preserve"> 1</w:t>
      </w:r>
      <w:r w:rsidR="00884332" w:rsidRPr="00EA2BB7">
        <w:t>)</w:t>
      </w:r>
      <w:r w:rsidR="00467722" w:rsidRPr="00EA2BB7">
        <w:t>.</w:t>
      </w:r>
    </w:p>
    <w:p w14:paraId="3141B3A1" w14:textId="79BE5FF8" w:rsidR="00433C57" w:rsidRPr="00EA2BB7" w:rsidRDefault="00B771AF" w:rsidP="00467722">
      <w:pPr>
        <w:pStyle w:val="Chapter"/>
      </w:pPr>
      <w:r w:rsidRPr="00EA2BB7">
        <w:t>RESULTS AND DISCUSSION</w:t>
      </w:r>
    </w:p>
    <w:p w14:paraId="0660C6E7" w14:textId="0EF69F7F" w:rsidR="00A53E25" w:rsidRPr="00EA2BB7" w:rsidRDefault="00A53E25" w:rsidP="00B7566E">
      <w:pPr>
        <w:pStyle w:val="Text"/>
      </w:pPr>
      <w:r w:rsidRPr="00EA2BB7">
        <w:t xml:space="preserve">Our results show that carminic acid, along with </w:t>
      </w:r>
      <w:proofErr w:type="spellStart"/>
      <w:r w:rsidRPr="00EA2BB7">
        <w:t>kermesic</w:t>
      </w:r>
      <w:proofErr w:type="spellEnd"/>
      <w:r w:rsidRPr="00EA2BB7">
        <w:t xml:space="preserve"> and </w:t>
      </w:r>
      <w:proofErr w:type="spellStart"/>
      <w:r w:rsidRPr="00EA2BB7">
        <w:t>laccaic</w:t>
      </w:r>
      <w:proofErr w:type="spellEnd"/>
      <w:r w:rsidRPr="00EA2BB7">
        <w:t xml:space="preserve"> acid bind the linker region with high affinities (Table </w:t>
      </w:r>
      <w:r w:rsidR="00F66955" w:rsidRPr="00EA2BB7">
        <w:t>2</w:t>
      </w:r>
      <w:r w:rsidRPr="00EA2BB7">
        <w:t xml:space="preserve">, </w:t>
      </w:r>
      <w:r w:rsidR="00F66955" w:rsidRPr="00EA2BB7">
        <w:t>3</w:t>
      </w:r>
      <w:r w:rsidRPr="00EA2BB7">
        <w:t xml:space="preserve"> and </w:t>
      </w:r>
      <w:r w:rsidR="00F66955" w:rsidRPr="00EA2BB7">
        <w:t>4</w:t>
      </w:r>
      <w:r w:rsidRPr="00EA2BB7">
        <w:t xml:space="preserve"> below), with carminic </w:t>
      </w:r>
      <w:r w:rsidR="00E05B8E" w:rsidRPr="00EA2BB7">
        <w:t>acid showing the highest affinity, followe</w:t>
      </w:r>
      <w:r w:rsidR="00413B20" w:rsidRPr="00EA2BB7">
        <w:t xml:space="preserve">d by </w:t>
      </w:r>
      <w:proofErr w:type="spellStart"/>
      <w:r w:rsidR="00413B20" w:rsidRPr="00EA2BB7">
        <w:t>kermesic</w:t>
      </w:r>
      <w:proofErr w:type="spellEnd"/>
      <w:r w:rsidR="00413B20" w:rsidRPr="00EA2BB7">
        <w:t xml:space="preserve"> and </w:t>
      </w:r>
      <w:proofErr w:type="spellStart"/>
      <w:r w:rsidR="00413B20" w:rsidRPr="00EA2BB7">
        <w:t>laccaic</w:t>
      </w:r>
      <w:proofErr w:type="spellEnd"/>
      <w:r w:rsidR="00413B20" w:rsidRPr="00EA2BB7">
        <w:t xml:space="preserve"> acid, showing </w:t>
      </w:r>
      <w:r w:rsidR="00467722" w:rsidRPr="00EA2BB7">
        <w:t xml:space="preserve">comparable binding affinities. Our results indicate that the interaction of carminic acid is stabilized by multiple hydrophobic contacts (for example with Gly41, Lys43, Glu35, Gly36, Tyr39) and two hydrogen bonds formed with </w:t>
      </w:r>
      <w:proofErr w:type="spellStart"/>
      <w:r w:rsidR="00467722" w:rsidRPr="00EA2BB7">
        <w:t>aminoacids</w:t>
      </w:r>
      <w:proofErr w:type="spellEnd"/>
      <w:r w:rsidR="00467722" w:rsidRPr="00EA2BB7">
        <w:t xml:space="preserve"> Lys32 and Val40 (as shown in Figure 1).</w:t>
      </w:r>
    </w:p>
    <w:p w14:paraId="0EBB3C63" w14:textId="758191A3" w:rsidR="00C762DE" w:rsidRPr="00EA2BB7" w:rsidRDefault="00306F31" w:rsidP="00C762DE">
      <w:pPr>
        <w:pStyle w:val="Tableno"/>
      </w:pPr>
      <w:r>
        <w:rPr>
          <w:noProof/>
        </w:rPr>
        <w:lastRenderedPageBreak/>
        <w:drawing>
          <wp:anchor distT="0" distB="0" distL="114300" distR="114300" simplePos="0" relativeHeight="251667968" behindDoc="0" locked="0" layoutInCell="1" allowOverlap="1" wp14:anchorId="4AFEA121" wp14:editId="771C963F">
            <wp:simplePos x="0" y="0"/>
            <wp:positionH relativeFrom="column">
              <wp:posOffset>153382</wp:posOffset>
            </wp:positionH>
            <wp:positionV relativeFrom="paragraph">
              <wp:posOffset>-15240</wp:posOffset>
            </wp:positionV>
            <wp:extent cx="1826633" cy="1752245"/>
            <wp:effectExtent l="0" t="0" r="254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plot_laccaic_interaction.png"/>
                    <pic:cNvPicPr/>
                  </pic:nvPicPr>
                  <pic:blipFill>
                    <a:blip r:embed="rId12" cstate="print">
                      <a:grayscl/>
                      <a:extLst>
                        <a:ext uri="{28A0092B-C50C-407E-A947-70E740481C1C}">
                          <a14:useLocalDpi xmlns:a14="http://schemas.microsoft.com/office/drawing/2010/main" val="0"/>
                        </a:ext>
                      </a:extLst>
                    </a:blip>
                    <a:stretch>
                      <a:fillRect/>
                    </a:stretch>
                  </pic:blipFill>
                  <pic:spPr>
                    <a:xfrm>
                      <a:off x="0" y="0"/>
                      <a:ext cx="1826633" cy="1752245"/>
                    </a:xfrm>
                    <a:prstGeom prst="rect">
                      <a:avLst/>
                    </a:prstGeom>
                  </pic:spPr>
                </pic:pic>
              </a:graphicData>
            </a:graphic>
            <wp14:sizeRelH relativeFrom="margin">
              <wp14:pctWidth>0</wp14:pctWidth>
            </wp14:sizeRelH>
            <wp14:sizeRelV relativeFrom="margin">
              <wp14:pctHeight>0</wp14:pctHeight>
            </wp14:sizeRelV>
          </wp:anchor>
        </w:drawing>
      </w:r>
      <w:r w:rsidR="00C762DE" w:rsidRPr="00EA2BB7">
        <w:tab/>
      </w:r>
      <w:r w:rsidR="00C762DE" w:rsidRPr="00EA2BB7">
        <w:tab/>
      </w:r>
      <w:r w:rsidR="00C762DE" w:rsidRPr="00EA2BB7">
        <w:tab/>
      </w:r>
      <w:r w:rsidR="00C762DE" w:rsidRPr="00EA2BB7">
        <w:tab/>
      </w:r>
      <w:r w:rsidR="00C762DE" w:rsidRPr="00EA2BB7">
        <w:tab/>
        <w:t xml:space="preserve">Table </w:t>
      </w:r>
      <w:r w:rsidR="00396F96" w:rsidRPr="00EA2BB7">
        <w:t>2</w:t>
      </w:r>
      <w:r w:rsidR="00C762DE" w:rsidRPr="00EA2BB7">
        <w:t xml:space="preserve"> </w:t>
      </w:r>
    </w:p>
    <w:p w14:paraId="40086075" w14:textId="77B33678" w:rsidR="00C762DE" w:rsidRPr="00EA2BB7" w:rsidRDefault="00C762DE" w:rsidP="00C762DE">
      <w:pPr>
        <w:pStyle w:val="Tabletitle"/>
      </w:pPr>
      <w:r w:rsidRPr="00EA2BB7">
        <w:t xml:space="preserve">                                                                           </w:t>
      </w:r>
      <w:r w:rsidR="00396F96" w:rsidRPr="00EA2BB7">
        <w:t>Carminic acid binding affinities</w:t>
      </w:r>
    </w:p>
    <w:p w14:paraId="7F006997" w14:textId="40D069F2" w:rsidR="00D978B7" w:rsidRPr="00EA2BB7" w:rsidRDefault="00C762DE" w:rsidP="00DD36D4">
      <w:pPr>
        <w:pStyle w:val="Text"/>
        <w:ind w:firstLine="0"/>
        <w:jc w:val="left"/>
      </w:pPr>
      <w:r w:rsidRPr="00EA2BB7">
        <w:t xml:space="preserve">                         </w:t>
      </w:r>
    </w:p>
    <w:tbl>
      <w:tblPr>
        <w:tblStyle w:val="TableGrid"/>
        <w:tblpPr w:leftFromText="180" w:rightFromText="180" w:vertAnchor="text" w:horzAnchor="margin" w:tblpXSpec="right" w:tblpY="6"/>
        <w:tblW w:w="0" w:type="auto"/>
        <w:tblLook w:val="04A0" w:firstRow="1" w:lastRow="0" w:firstColumn="1" w:lastColumn="0" w:noHBand="0" w:noVBand="1"/>
      </w:tblPr>
      <w:tblGrid>
        <w:gridCol w:w="608"/>
        <w:gridCol w:w="947"/>
        <w:gridCol w:w="992"/>
        <w:gridCol w:w="1134"/>
      </w:tblGrid>
      <w:tr w:rsidR="00C34D41" w:rsidRPr="00EA2BB7" w14:paraId="607460BC" w14:textId="77777777" w:rsidTr="00311E0C">
        <w:tc>
          <w:tcPr>
            <w:tcW w:w="608" w:type="dxa"/>
            <w:vMerge w:val="restart"/>
            <w:shd w:val="clear" w:color="auto" w:fill="F2F2F2" w:themeFill="background1" w:themeFillShade="F2"/>
          </w:tcPr>
          <w:p w14:paraId="0B7DA72D" w14:textId="77777777" w:rsidR="00AA64E9" w:rsidRPr="00EA2BB7" w:rsidRDefault="00AA64E9" w:rsidP="00AA64E9">
            <w:pPr>
              <w:pStyle w:val="Text"/>
              <w:ind w:firstLine="0"/>
              <w:jc w:val="center"/>
              <w:rPr>
                <w:b/>
                <w:bCs/>
                <w:sz w:val="16"/>
                <w:szCs w:val="16"/>
              </w:rPr>
            </w:pPr>
            <w:bookmarkStart w:id="2" w:name="_Hlk44577008"/>
            <w:r w:rsidRPr="00EA2BB7">
              <w:rPr>
                <w:b/>
                <w:bCs/>
                <w:sz w:val="16"/>
                <w:szCs w:val="16"/>
              </w:rPr>
              <w:t>Mode</w:t>
            </w:r>
          </w:p>
        </w:tc>
        <w:tc>
          <w:tcPr>
            <w:tcW w:w="947" w:type="dxa"/>
            <w:vMerge w:val="restart"/>
            <w:shd w:val="clear" w:color="auto" w:fill="F2F2F2" w:themeFill="background1" w:themeFillShade="F2"/>
          </w:tcPr>
          <w:p w14:paraId="6E8315DA" w14:textId="77777777" w:rsidR="00AA64E9" w:rsidRPr="00C061C1" w:rsidRDefault="00AA64E9" w:rsidP="00AA64E9">
            <w:pPr>
              <w:pStyle w:val="Text"/>
              <w:ind w:firstLine="0"/>
              <w:jc w:val="center"/>
              <w:rPr>
                <w:b/>
                <w:bCs/>
                <w:sz w:val="16"/>
                <w:szCs w:val="16"/>
              </w:rPr>
            </w:pPr>
            <w:r w:rsidRPr="00C061C1">
              <w:rPr>
                <w:b/>
                <w:bCs/>
                <w:sz w:val="16"/>
                <w:szCs w:val="16"/>
              </w:rPr>
              <w:t>Affinity</w:t>
            </w:r>
          </w:p>
          <w:p w14:paraId="35EA485A" w14:textId="0A13B5DC" w:rsidR="00AA64E9" w:rsidRPr="00C061C1" w:rsidRDefault="00AA64E9" w:rsidP="00AA64E9">
            <w:pPr>
              <w:pStyle w:val="Text"/>
              <w:ind w:firstLine="0"/>
              <w:jc w:val="center"/>
              <w:rPr>
                <w:b/>
                <w:bCs/>
                <w:sz w:val="16"/>
                <w:szCs w:val="16"/>
              </w:rPr>
            </w:pPr>
            <w:r w:rsidRPr="00C061C1">
              <w:rPr>
                <w:b/>
                <w:bCs/>
                <w:sz w:val="16"/>
                <w:szCs w:val="16"/>
              </w:rPr>
              <w:t>(</w:t>
            </w:r>
            <w:r w:rsidR="00467722" w:rsidRPr="00C061C1">
              <w:rPr>
                <w:b/>
                <w:bCs/>
                <w:sz w:val="16"/>
                <w:szCs w:val="16"/>
              </w:rPr>
              <w:t>k</w:t>
            </w:r>
            <w:r w:rsidRPr="00C061C1">
              <w:rPr>
                <w:b/>
                <w:bCs/>
                <w:sz w:val="16"/>
                <w:szCs w:val="16"/>
              </w:rPr>
              <w:t>cal/mol)</w:t>
            </w:r>
          </w:p>
        </w:tc>
        <w:tc>
          <w:tcPr>
            <w:tcW w:w="2126" w:type="dxa"/>
            <w:gridSpan w:val="2"/>
            <w:shd w:val="clear" w:color="auto" w:fill="F2F2F2" w:themeFill="background1" w:themeFillShade="F2"/>
          </w:tcPr>
          <w:p w14:paraId="77E67DC8" w14:textId="77777777" w:rsidR="00AA64E9" w:rsidRPr="00EA2BB7" w:rsidRDefault="00AA64E9" w:rsidP="00AA64E9">
            <w:pPr>
              <w:pStyle w:val="Text"/>
              <w:ind w:firstLine="0"/>
              <w:jc w:val="center"/>
              <w:rPr>
                <w:b/>
                <w:bCs/>
                <w:sz w:val="16"/>
                <w:szCs w:val="16"/>
              </w:rPr>
            </w:pPr>
            <w:r w:rsidRPr="00EA2BB7">
              <w:rPr>
                <w:b/>
                <w:bCs/>
                <w:sz w:val="16"/>
                <w:szCs w:val="16"/>
              </w:rPr>
              <w:t>Distance from best mode</w:t>
            </w:r>
          </w:p>
        </w:tc>
      </w:tr>
      <w:tr w:rsidR="00C34D41" w:rsidRPr="00EA2BB7" w14:paraId="1F0F0603" w14:textId="77777777" w:rsidTr="00311E0C">
        <w:tc>
          <w:tcPr>
            <w:tcW w:w="608" w:type="dxa"/>
            <w:vMerge/>
            <w:shd w:val="clear" w:color="auto" w:fill="F2F2F2" w:themeFill="background1" w:themeFillShade="F2"/>
          </w:tcPr>
          <w:p w14:paraId="6BAFE888" w14:textId="77777777" w:rsidR="00AA64E9" w:rsidRPr="00EA2BB7" w:rsidRDefault="00AA64E9" w:rsidP="00AA64E9">
            <w:pPr>
              <w:pStyle w:val="Text"/>
              <w:ind w:firstLine="0"/>
              <w:jc w:val="center"/>
              <w:rPr>
                <w:b/>
                <w:bCs/>
                <w:sz w:val="16"/>
                <w:szCs w:val="16"/>
              </w:rPr>
            </w:pPr>
          </w:p>
        </w:tc>
        <w:tc>
          <w:tcPr>
            <w:tcW w:w="947" w:type="dxa"/>
            <w:vMerge/>
            <w:shd w:val="clear" w:color="auto" w:fill="F2F2F2" w:themeFill="background1" w:themeFillShade="F2"/>
          </w:tcPr>
          <w:p w14:paraId="56789A3F" w14:textId="77777777" w:rsidR="00AA64E9" w:rsidRPr="00EA2BB7" w:rsidRDefault="00AA64E9" w:rsidP="00AA64E9">
            <w:pPr>
              <w:pStyle w:val="Text"/>
              <w:ind w:firstLine="0"/>
              <w:jc w:val="center"/>
              <w:rPr>
                <w:b/>
                <w:bCs/>
                <w:sz w:val="16"/>
                <w:szCs w:val="16"/>
              </w:rPr>
            </w:pPr>
          </w:p>
        </w:tc>
        <w:tc>
          <w:tcPr>
            <w:tcW w:w="992" w:type="dxa"/>
            <w:shd w:val="clear" w:color="auto" w:fill="F2F2F2" w:themeFill="background1" w:themeFillShade="F2"/>
          </w:tcPr>
          <w:p w14:paraId="6BC25201" w14:textId="77777777" w:rsidR="00AA64E9" w:rsidRPr="00EA2BB7" w:rsidRDefault="00AA64E9" w:rsidP="00AA64E9">
            <w:pPr>
              <w:pStyle w:val="Text"/>
              <w:ind w:firstLine="0"/>
              <w:jc w:val="center"/>
              <w:rPr>
                <w:b/>
                <w:bCs/>
                <w:sz w:val="16"/>
                <w:szCs w:val="16"/>
              </w:rPr>
            </w:pPr>
            <w:r w:rsidRPr="00EA2BB7">
              <w:rPr>
                <w:b/>
                <w:bCs/>
                <w:sz w:val="16"/>
                <w:szCs w:val="16"/>
              </w:rPr>
              <w:t xml:space="preserve">RMSD </w:t>
            </w:r>
            <w:proofErr w:type="spellStart"/>
            <w:r w:rsidRPr="00EA2BB7">
              <w:rPr>
                <w:b/>
                <w:bCs/>
                <w:sz w:val="16"/>
                <w:szCs w:val="16"/>
              </w:rPr>
              <w:t>l.b</w:t>
            </w:r>
            <w:proofErr w:type="spellEnd"/>
            <w:r w:rsidRPr="00EA2BB7">
              <w:rPr>
                <w:b/>
                <w:bCs/>
                <w:sz w:val="16"/>
                <w:szCs w:val="16"/>
              </w:rPr>
              <w:t>.</w:t>
            </w:r>
          </w:p>
        </w:tc>
        <w:tc>
          <w:tcPr>
            <w:tcW w:w="1134" w:type="dxa"/>
            <w:shd w:val="clear" w:color="auto" w:fill="F2F2F2" w:themeFill="background1" w:themeFillShade="F2"/>
          </w:tcPr>
          <w:p w14:paraId="18D0D884" w14:textId="77777777" w:rsidR="00AA64E9" w:rsidRPr="00EA2BB7" w:rsidRDefault="00AA64E9" w:rsidP="00AA64E9">
            <w:pPr>
              <w:pStyle w:val="Text"/>
              <w:ind w:firstLine="0"/>
              <w:jc w:val="center"/>
              <w:rPr>
                <w:b/>
                <w:bCs/>
                <w:sz w:val="16"/>
                <w:szCs w:val="16"/>
              </w:rPr>
            </w:pPr>
            <w:r w:rsidRPr="00EA2BB7">
              <w:rPr>
                <w:b/>
                <w:bCs/>
                <w:sz w:val="16"/>
                <w:szCs w:val="16"/>
              </w:rPr>
              <w:t xml:space="preserve">RMSD </w:t>
            </w:r>
            <w:proofErr w:type="spellStart"/>
            <w:r w:rsidRPr="00EA2BB7">
              <w:rPr>
                <w:b/>
                <w:bCs/>
                <w:sz w:val="16"/>
                <w:szCs w:val="16"/>
              </w:rPr>
              <w:t>u.b</w:t>
            </w:r>
            <w:proofErr w:type="spellEnd"/>
            <w:r w:rsidRPr="00EA2BB7">
              <w:rPr>
                <w:b/>
                <w:bCs/>
                <w:sz w:val="16"/>
                <w:szCs w:val="16"/>
              </w:rPr>
              <w:t>.</w:t>
            </w:r>
          </w:p>
        </w:tc>
      </w:tr>
      <w:tr w:rsidR="00C34D41" w:rsidRPr="00EA2BB7" w14:paraId="1ECCEAA4" w14:textId="77777777" w:rsidTr="00311E0C">
        <w:tc>
          <w:tcPr>
            <w:tcW w:w="608" w:type="dxa"/>
          </w:tcPr>
          <w:p w14:paraId="1E667490" w14:textId="77777777" w:rsidR="00AA64E9" w:rsidRPr="00EA2BB7" w:rsidRDefault="00AA64E9" w:rsidP="00AA64E9">
            <w:pPr>
              <w:pStyle w:val="Text"/>
              <w:ind w:firstLine="0"/>
              <w:jc w:val="left"/>
              <w:rPr>
                <w:sz w:val="16"/>
                <w:szCs w:val="16"/>
              </w:rPr>
            </w:pPr>
            <w:r w:rsidRPr="00EA2BB7">
              <w:rPr>
                <w:sz w:val="16"/>
                <w:szCs w:val="16"/>
              </w:rPr>
              <w:t>1</w:t>
            </w:r>
          </w:p>
        </w:tc>
        <w:tc>
          <w:tcPr>
            <w:tcW w:w="947" w:type="dxa"/>
            <w:vAlign w:val="bottom"/>
          </w:tcPr>
          <w:p w14:paraId="5B927920" w14:textId="230956B5" w:rsidR="00AA64E9" w:rsidRPr="00EA2BB7" w:rsidRDefault="00C87B7B" w:rsidP="00AA64E9">
            <w:pPr>
              <w:pStyle w:val="Text"/>
              <w:ind w:firstLine="0"/>
              <w:jc w:val="left"/>
              <w:rPr>
                <w:sz w:val="16"/>
                <w:szCs w:val="16"/>
              </w:rPr>
            </w:pPr>
            <w:r w:rsidRPr="00C87B7B">
              <w:rPr>
                <w:rFonts w:ascii="Symbol" w:hAnsi="Symbol"/>
                <w:sz w:val="16"/>
                <w:szCs w:val="16"/>
              </w:rPr>
              <w:t></w:t>
            </w:r>
            <w:r w:rsidR="00AA64E9" w:rsidRPr="00EA2BB7">
              <w:rPr>
                <w:sz w:val="16"/>
                <w:szCs w:val="16"/>
              </w:rPr>
              <w:t>7.9</w:t>
            </w:r>
          </w:p>
        </w:tc>
        <w:tc>
          <w:tcPr>
            <w:tcW w:w="992" w:type="dxa"/>
            <w:vAlign w:val="bottom"/>
          </w:tcPr>
          <w:p w14:paraId="1D3D9F09" w14:textId="77777777" w:rsidR="00AA64E9" w:rsidRPr="00EA2BB7" w:rsidRDefault="00AA64E9" w:rsidP="00AA64E9">
            <w:pPr>
              <w:pStyle w:val="Text"/>
              <w:ind w:firstLine="0"/>
              <w:jc w:val="left"/>
              <w:rPr>
                <w:sz w:val="16"/>
                <w:szCs w:val="16"/>
              </w:rPr>
            </w:pPr>
            <w:r w:rsidRPr="00EA2BB7">
              <w:rPr>
                <w:sz w:val="16"/>
                <w:szCs w:val="16"/>
              </w:rPr>
              <w:t>0</w:t>
            </w:r>
          </w:p>
        </w:tc>
        <w:tc>
          <w:tcPr>
            <w:tcW w:w="1134" w:type="dxa"/>
            <w:vAlign w:val="bottom"/>
          </w:tcPr>
          <w:p w14:paraId="600AF103" w14:textId="77777777" w:rsidR="00AA64E9" w:rsidRPr="00EA2BB7" w:rsidRDefault="00AA64E9" w:rsidP="00AA64E9">
            <w:pPr>
              <w:pStyle w:val="Text"/>
              <w:ind w:firstLine="0"/>
              <w:jc w:val="left"/>
              <w:rPr>
                <w:sz w:val="16"/>
                <w:szCs w:val="16"/>
              </w:rPr>
            </w:pPr>
            <w:r w:rsidRPr="00EA2BB7">
              <w:rPr>
                <w:sz w:val="16"/>
                <w:szCs w:val="16"/>
              </w:rPr>
              <w:t>0</w:t>
            </w:r>
          </w:p>
        </w:tc>
      </w:tr>
      <w:tr w:rsidR="00C34D41" w:rsidRPr="00EA2BB7" w14:paraId="6FE4C679" w14:textId="77777777" w:rsidTr="00311E0C">
        <w:tc>
          <w:tcPr>
            <w:tcW w:w="608" w:type="dxa"/>
          </w:tcPr>
          <w:p w14:paraId="3652544B" w14:textId="77777777" w:rsidR="00AA64E9" w:rsidRPr="00EA2BB7" w:rsidRDefault="00AA64E9" w:rsidP="00AA64E9">
            <w:pPr>
              <w:pStyle w:val="Text"/>
              <w:ind w:firstLine="0"/>
              <w:jc w:val="left"/>
              <w:rPr>
                <w:sz w:val="16"/>
                <w:szCs w:val="16"/>
              </w:rPr>
            </w:pPr>
            <w:r w:rsidRPr="00EA2BB7">
              <w:rPr>
                <w:sz w:val="16"/>
                <w:szCs w:val="16"/>
              </w:rPr>
              <w:t>2</w:t>
            </w:r>
          </w:p>
        </w:tc>
        <w:tc>
          <w:tcPr>
            <w:tcW w:w="947" w:type="dxa"/>
            <w:vAlign w:val="bottom"/>
          </w:tcPr>
          <w:p w14:paraId="0F789C5D" w14:textId="77D65ADF" w:rsidR="00AA64E9" w:rsidRPr="00EA2BB7" w:rsidRDefault="00C87B7B" w:rsidP="00AA64E9">
            <w:pPr>
              <w:pStyle w:val="Text"/>
              <w:ind w:firstLine="0"/>
              <w:jc w:val="left"/>
              <w:rPr>
                <w:sz w:val="16"/>
                <w:szCs w:val="16"/>
              </w:rPr>
            </w:pPr>
            <w:r w:rsidRPr="00C87B7B">
              <w:rPr>
                <w:rFonts w:ascii="Symbol" w:hAnsi="Symbol"/>
                <w:sz w:val="16"/>
                <w:szCs w:val="16"/>
              </w:rPr>
              <w:t></w:t>
            </w:r>
            <w:r w:rsidR="00AA64E9" w:rsidRPr="00EA2BB7">
              <w:rPr>
                <w:sz w:val="16"/>
                <w:szCs w:val="16"/>
              </w:rPr>
              <w:t>6.8</w:t>
            </w:r>
          </w:p>
        </w:tc>
        <w:tc>
          <w:tcPr>
            <w:tcW w:w="992" w:type="dxa"/>
            <w:vAlign w:val="bottom"/>
          </w:tcPr>
          <w:p w14:paraId="21134A78" w14:textId="77777777" w:rsidR="00AA64E9" w:rsidRPr="00EA2BB7" w:rsidRDefault="00AA64E9" w:rsidP="00AA64E9">
            <w:pPr>
              <w:pStyle w:val="Text"/>
              <w:ind w:firstLine="0"/>
              <w:jc w:val="left"/>
              <w:rPr>
                <w:sz w:val="16"/>
                <w:szCs w:val="16"/>
              </w:rPr>
            </w:pPr>
            <w:r w:rsidRPr="00EA2BB7">
              <w:rPr>
                <w:sz w:val="16"/>
                <w:szCs w:val="16"/>
              </w:rPr>
              <w:t>2.689</w:t>
            </w:r>
          </w:p>
        </w:tc>
        <w:tc>
          <w:tcPr>
            <w:tcW w:w="1134" w:type="dxa"/>
            <w:vAlign w:val="bottom"/>
          </w:tcPr>
          <w:p w14:paraId="7C1C9749" w14:textId="77777777" w:rsidR="00AA64E9" w:rsidRPr="00EA2BB7" w:rsidRDefault="00AA64E9" w:rsidP="00AA64E9">
            <w:pPr>
              <w:pStyle w:val="Text"/>
              <w:ind w:firstLine="0"/>
              <w:jc w:val="left"/>
              <w:rPr>
                <w:sz w:val="16"/>
                <w:szCs w:val="16"/>
              </w:rPr>
            </w:pPr>
            <w:r w:rsidRPr="00EA2BB7">
              <w:rPr>
                <w:sz w:val="16"/>
                <w:szCs w:val="16"/>
              </w:rPr>
              <w:t>4.659</w:t>
            </w:r>
          </w:p>
        </w:tc>
      </w:tr>
      <w:tr w:rsidR="00C34D41" w:rsidRPr="00EA2BB7" w14:paraId="287D4766" w14:textId="77777777" w:rsidTr="00311E0C">
        <w:tc>
          <w:tcPr>
            <w:tcW w:w="608" w:type="dxa"/>
          </w:tcPr>
          <w:p w14:paraId="369F1302" w14:textId="77777777" w:rsidR="00AA64E9" w:rsidRPr="00EA2BB7" w:rsidRDefault="00AA64E9" w:rsidP="00AA64E9">
            <w:pPr>
              <w:pStyle w:val="Text"/>
              <w:ind w:firstLine="0"/>
              <w:jc w:val="left"/>
              <w:rPr>
                <w:sz w:val="16"/>
                <w:szCs w:val="16"/>
              </w:rPr>
            </w:pPr>
            <w:r w:rsidRPr="00EA2BB7">
              <w:rPr>
                <w:sz w:val="16"/>
                <w:szCs w:val="16"/>
              </w:rPr>
              <w:t>3</w:t>
            </w:r>
          </w:p>
        </w:tc>
        <w:tc>
          <w:tcPr>
            <w:tcW w:w="947" w:type="dxa"/>
            <w:vAlign w:val="bottom"/>
          </w:tcPr>
          <w:p w14:paraId="0FA901BB" w14:textId="5B5C26B1" w:rsidR="00AA64E9" w:rsidRPr="00EA2BB7" w:rsidRDefault="00C87B7B" w:rsidP="00AA64E9">
            <w:pPr>
              <w:pStyle w:val="Text"/>
              <w:ind w:firstLine="0"/>
              <w:jc w:val="left"/>
              <w:rPr>
                <w:sz w:val="16"/>
                <w:szCs w:val="16"/>
              </w:rPr>
            </w:pPr>
            <w:r w:rsidRPr="00C87B7B">
              <w:rPr>
                <w:rFonts w:ascii="Symbol" w:hAnsi="Symbol"/>
                <w:sz w:val="16"/>
                <w:szCs w:val="16"/>
              </w:rPr>
              <w:t></w:t>
            </w:r>
            <w:r w:rsidR="00AA64E9" w:rsidRPr="00EA2BB7">
              <w:rPr>
                <w:sz w:val="16"/>
                <w:szCs w:val="16"/>
              </w:rPr>
              <w:t>6.4</w:t>
            </w:r>
          </w:p>
        </w:tc>
        <w:tc>
          <w:tcPr>
            <w:tcW w:w="992" w:type="dxa"/>
            <w:vAlign w:val="bottom"/>
          </w:tcPr>
          <w:p w14:paraId="61B419C8" w14:textId="77777777" w:rsidR="00AA64E9" w:rsidRPr="00EA2BB7" w:rsidRDefault="00AA64E9" w:rsidP="00AA64E9">
            <w:pPr>
              <w:pStyle w:val="Text"/>
              <w:ind w:firstLine="0"/>
              <w:jc w:val="left"/>
              <w:rPr>
                <w:sz w:val="16"/>
                <w:szCs w:val="16"/>
              </w:rPr>
            </w:pPr>
            <w:r w:rsidRPr="00EA2BB7">
              <w:rPr>
                <w:sz w:val="16"/>
                <w:szCs w:val="16"/>
              </w:rPr>
              <w:t>2.987</w:t>
            </w:r>
          </w:p>
        </w:tc>
        <w:tc>
          <w:tcPr>
            <w:tcW w:w="1134" w:type="dxa"/>
            <w:vAlign w:val="bottom"/>
          </w:tcPr>
          <w:p w14:paraId="554DE5FF" w14:textId="77777777" w:rsidR="00AA64E9" w:rsidRPr="00EA2BB7" w:rsidRDefault="00AA64E9" w:rsidP="00AA64E9">
            <w:pPr>
              <w:pStyle w:val="Text"/>
              <w:ind w:firstLine="0"/>
              <w:jc w:val="left"/>
              <w:rPr>
                <w:sz w:val="16"/>
                <w:szCs w:val="16"/>
              </w:rPr>
            </w:pPr>
            <w:r w:rsidRPr="00EA2BB7">
              <w:rPr>
                <w:sz w:val="16"/>
                <w:szCs w:val="16"/>
              </w:rPr>
              <w:t>9.841</w:t>
            </w:r>
          </w:p>
        </w:tc>
      </w:tr>
      <w:tr w:rsidR="00C34D41" w:rsidRPr="00EA2BB7" w14:paraId="27E1D090" w14:textId="77777777" w:rsidTr="00311E0C">
        <w:tc>
          <w:tcPr>
            <w:tcW w:w="608" w:type="dxa"/>
          </w:tcPr>
          <w:p w14:paraId="6928CCC6" w14:textId="77777777" w:rsidR="00AA64E9" w:rsidRPr="00EA2BB7" w:rsidRDefault="00AA64E9" w:rsidP="00AA64E9">
            <w:pPr>
              <w:pStyle w:val="Text"/>
              <w:ind w:firstLine="0"/>
              <w:jc w:val="left"/>
              <w:rPr>
                <w:sz w:val="16"/>
                <w:szCs w:val="16"/>
              </w:rPr>
            </w:pPr>
            <w:r w:rsidRPr="00EA2BB7">
              <w:rPr>
                <w:sz w:val="16"/>
                <w:szCs w:val="16"/>
              </w:rPr>
              <w:t>4</w:t>
            </w:r>
          </w:p>
        </w:tc>
        <w:tc>
          <w:tcPr>
            <w:tcW w:w="947" w:type="dxa"/>
            <w:vAlign w:val="bottom"/>
          </w:tcPr>
          <w:p w14:paraId="5D44B506" w14:textId="727A3989" w:rsidR="00AA64E9" w:rsidRPr="00EA2BB7" w:rsidRDefault="00C87B7B" w:rsidP="00AA64E9">
            <w:pPr>
              <w:pStyle w:val="Text"/>
              <w:ind w:firstLine="0"/>
              <w:jc w:val="left"/>
              <w:rPr>
                <w:sz w:val="16"/>
                <w:szCs w:val="16"/>
              </w:rPr>
            </w:pPr>
            <w:r w:rsidRPr="00C87B7B">
              <w:rPr>
                <w:rFonts w:ascii="Symbol" w:hAnsi="Symbol"/>
                <w:sz w:val="16"/>
                <w:szCs w:val="16"/>
              </w:rPr>
              <w:t></w:t>
            </w:r>
            <w:r w:rsidR="00AA64E9" w:rsidRPr="00EA2BB7">
              <w:rPr>
                <w:sz w:val="16"/>
                <w:szCs w:val="16"/>
              </w:rPr>
              <w:t>6.4</w:t>
            </w:r>
          </w:p>
        </w:tc>
        <w:tc>
          <w:tcPr>
            <w:tcW w:w="992" w:type="dxa"/>
            <w:vAlign w:val="bottom"/>
          </w:tcPr>
          <w:p w14:paraId="2FE19301" w14:textId="77777777" w:rsidR="00AA64E9" w:rsidRPr="00EA2BB7" w:rsidRDefault="00AA64E9" w:rsidP="00AA64E9">
            <w:pPr>
              <w:pStyle w:val="Text"/>
              <w:ind w:firstLine="0"/>
              <w:jc w:val="left"/>
              <w:rPr>
                <w:sz w:val="16"/>
                <w:szCs w:val="16"/>
              </w:rPr>
            </w:pPr>
            <w:r w:rsidRPr="00EA2BB7">
              <w:rPr>
                <w:sz w:val="16"/>
                <w:szCs w:val="16"/>
              </w:rPr>
              <w:t>4.21</w:t>
            </w:r>
          </w:p>
        </w:tc>
        <w:tc>
          <w:tcPr>
            <w:tcW w:w="1134" w:type="dxa"/>
            <w:vAlign w:val="bottom"/>
          </w:tcPr>
          <w:p w14:paraId="7BD14F72" w14:textId="77777777" w:rsidR="00AA64E9" w:rsidRPr="00EA2BB7" w:rsidRDefault="00AA64E9" w:rsidP="00AA64E9">
            <w:pPr>
              <w:pStyle w:val="Text"/>
              <w:ind w:firstLine="0"/>
              <w:jc w:val="left"/>
              <w:rPr>
                <w:sz w:val="16"/>
                <w:szCs w:val="16"/>
              </w:rPr>
            </w:pPr>
            <w:r w:rsidRPr="00EA2BB7">
              <w:rPr>
                <w:sz w:val="16"/>
                <w:szCs w:val="16"/>
              </w:rPr>
              <w:t>7.194</w:t>
            </w:r>
          </w:p>
        </w:tc>
      </w:tr>
      <w:tr w:rsidR="00C34D41" w:rsidRPr="00EA2BB7" w14:paraId="131342BC" w14:textId="77777777" w:rsidTr="00311E0C">
        <w:tc>
          <w:tcPr>
            <w:tcW w:w="608" w:type="dxa"/>
          </w:tcPr>
          <w:p w14:paraId="1D0AD970" w14:textId="77777777" w:rsidR="00AA64E9" w:rsidRPr="00EA2BB7" w:rsidRDefault="00AA64E9" w:rsidP="00AA64E9">
            <w:pPr>
              <w:pStyle w:val="Text"/>
              <w:ind w:firstLine="0"/>
              <w:jc w:val="left"/>
              <w:rPr>
                <w:sz w:val="16"/>
                <w:szCs w:val="16"/>
              </w:rPr>
            </w:pPr>
            <w:r w:rsidRPr="00EA2BB7">
              <w:rPr>
                <w:sz w:val="16"/>
                <w:szCs w:val="16"/>
              </w:rPr>
              <w:t>5</w:t>
            </w:r>
          </w:p>
        </w:tc>
        <w:tc>
          <w:tcPr>
            <w:tcW w:w="947" w:type="dxa"/>
            <w:vAlign w:val="bottom"/>
          </w:tcPr>
          <w:p w14:paraId="44446F36" w14:textId="1251126B" w:rsidR="00AA64E9" w:rsidRPr="00EA2BB7" w:rsidRDefault="00C87B7B" w:rsidP="00AA64E9">
            <w:pPr>
              <w:pStyle w:val="Text"/>
              <w:ind w:firstLine="0"/>
              <w:jc w:val="left"/>
              <w:rPr>
                <w:sz w:val="16"/>
                <w:szCs w:val="16"/>
              </w:rPr>
            </w:pPr>
            <w:r w:rsidRPr="00C87B7B">
              <w:rPr>
                <w:rFonts w:ascii="Symbol" w:hAnsi="Symbol"/>
                <w:sz w:val="16"/>
                <w:szCs w:val="16"/>
              </w:rPr>
              <w:t></w:t>
            </w:r>
            <w:r w:rsidR="00AA64E9" w:rsidRPr="00EA2BB7">
              <w:rPr>
                <w:sz w:val="16"/>
                <w:szCs w:val="16"/>
              </w:rPr>
              <w:t>6.3</w:t>
            </w:r>
          </w:p>
        </w:tc>
        <w:tc>
          <w:tcPr>
            <w:tcW w:w="992" w:type="dxa"/>
            <w:vAlign w:val="bottom"/>
          </w:tcPr>
          <w:p w14:paraId="106B3613" w14:textId="77777777" w:rsidR="00AA64E9" w:rsidRPr="00EA2BB7" w:rsidRDefault="00AA64E9" w:rsidP="00AA64E9">
            <w:pPr>
              <w:pStyle w:val="Text"/>
              <w:ind w:firstLine="0"/>
              <w:jc w:val="left"/>
              <w:rPr>
                <w:sz w:val="16"/>
                <w:szCs w:val="16"/>
              </w:rPr>
            </w:pPr>
            <w:r w:rsidRPr="00EA2BB7">
              <w:rPr>
                <w:sz w:val="16"/>
                <w:szCs w:val="16"/>
              </w:rPr>
              <w:t>1.906</w:t>
            </w:r>
          </w:p>
        </w:tc>
        <w:tc>
          <w:tcPr>
            <w:tcW w:w="1134" w:type="dxa"/>
            <w:vAlign w:val="bottom"/>
          </w:tcPr>
          <w:p w14:paraId="7C062701" w14:textId="7CFC20D6" w:rsidR="00AA64E9" w:rsidRPr="00EA2BB7" w:rsidRDefault="00AA64E9" w:rsidP="00AA64E9">
            <w:pPr>
              <w:pStyle w:val="Text"/>
              <w:ind w:firstLine="0"/>
              <w:jc w:val="left"/>
              <w:rPr>
                <w:sz w:val="16"/>
                <w:szCs w:val="16"/>
              </w:rPr>
            </w:pPr>
            <w:r w:rsidRPr="00EA2BB7">
              <w:rPr>
                <w:sz w:val="16"/>
                <w:szCs w:val="16"/>
              </w:rPr>
              <w:t>4.059</w:t>
            </w:r>
          </w:p>
        </w:tc>
      </w:tr>
      <w:tr w:rsidR="00C34D41" w:rsidRPr="00EA2BB7" w14:paraId="7F3EEC01" w14:textId="77777777" w:rsidTr="00311E0C">
        <w:tc>
          <w:tcPr>
            <w:tcW w:w="608" w:type="dxa"/>
          </w:tcPr>
          <w:p w14:paraId="64F3D307" w14:textId="77777777" w:rsidR="00AA64E9" w:rsidRPr="00EA2BB7" w:rsidRDefault="00AA64E9" w:rsidP="00AA64E9">
            <w:pPr>
              <w:pStyle w:val="Text"/>
              <w:ind w:firstLine="0"/>
              <w:jc w:val="left"/>
              <w:rPr>
                <w:sz w:val="16"/>
                <w:szCs w:val="16"/>
              </w:rPr>
            </w:pPr>
            <w:r w:rsidRPr="00EA2BB7">
              <w:rPr>
                <w:sz w:val="16"/>
                <w:szCs w:val="16"/>
              </w:rPr>
              <w:t>6</w:t>
            </w:r>
          </w:p>
        </w:tc>
        <w:tc>
          <w:tcPr>
            <w:tcW w:w="947" w:type="dxa"/>
            <w:vAlign w:val="bottom"/>
          </w:tcPr>
          <w:p w14:paraId="78F39E3D" w14:textId="63D0A594" w:rsidR="00AA64E9" w:rsidRPr="00EA2BB7" w:rsidRDefault="00C87B7B" w:rsidP="00AA64E9">
            <w:pPr>
              <w:pStyle w:val="Text"/>
              <w:ind w:firstLine="0"/>
              <w:jc w:val="left"/>
              <w:rPr>
                <w:sz w:val="16"/>
                <w:szCs w:val="16"/>
              </w:rPr>
            </w:pPr>
            <w:r w:rsidRPr="00C87B7B">
              <w:rPr>
                <w:rFonts w:ascii="Symbol" w:hAnsi="Symbol"/>
                <w:sz w:val="16"/>
                <w:szCs w:val="16"/>
              </w:rPr>
              <w:t></w:t>
            </w:r>
            <w:r w:rsidR="00AA64E9" w:rsidRPr="00EA2BB7">
              <w:rPr>
                <w:sz w:val="16"/>
                <w:szCs w:val="16"/>
              </w:rPr>
              <w:t>5.8</w:t>
            </w:r>
          </w:p>
        </w:tc>
        <w:tc>
          <w:tcPr>
            <w:tcW w:w="992" w:type="dxa"/>
            <w:vAlign w:val="bottom"/>
          </w:tcPr>
          <w:p w14:paraId="350A7D2D" w14:textId="77777777" w:rsidR="00AA64E9" w:rsidRPr="00EA2BB7" w:rsidRDefault="00AA64E9" w:rsidP="00AA64E9">
            <w:pPr>
              <w:pStyle w:val="Text"/>
              <w:ind w:firstLine="0"/>
              <w:jc w:val="left"/>
              <w:rPr>
                <w:sz w:val="16"/>
                <w:szCs w:val="16"/>
              </w:rPr>
            </w:pPr>
            <w:r w:rsidRPr="00EA2BB7">
              <w:rPr>
                <w:sz w:val="16"/>
                <w:szCs w:val="16"/>
              </w:rPr>
              <w:t>24.292</w:t>
            </w:r>
          </w:p>
        </w:tc>
        <w:tc>
          <w:tcPr>
            <w:tcW w:w="1134" w:type="dxa"/>
            <w:vAlign w:val="bottom"/>
          </w:tcPr>
          <w:p w14:paraId="6E70FA4A" w14:textId="77777777" w:rsidR="00AA64E9" w:rsidRPr="00EA2BB7" w:rsidRDefault="00AA64E9" w:rsidP="00AA64E9">
            <w:pPr>
              <w:pStyle w:val="Text"/>
              <w:ind w:firstLine="0"/>
              <w:jc w:val="left"/>
              <w:rPr>
                <w:sz w:val="16"/>
                <w:szCs w:val="16"/>
              </w:rPr>
            </w:pPr>
            <w:r w:rsidRPr="00EA2BB7">
              <w:rPr>
                <w:sz w:val="16"/>
                <w:szCs w:val="16"/>
              </w:rPr>
              <w:t>27.946</w:t>
            </w:r>
          </w:p>
        </w:tc>
      </w:tr>
      <w:tr w:rsidR="00C34D41" w:rsidRPr="00EA2BB7" w14:paraId="78DC16BC" w14:textId="77777777" w:rsidTr="00311E0C">
        <w:tc>
          <w:tcPr>
            <w:tcW w:w="608" w:type="dxa"/>
          </w:tcPr>
          <w:p w14:paraId="2BF0DDC6" w14:textId="77777777" w:rsidR="00AA64E9" w:rsidRPr="00EA2BB7" w:rsidRDefault="00AA64E9" w:rsidP="00AA64E9">
            <w:pPr>
              <w:pStyle w:val="Text"/>
              <w:ind w:firstLine="0"/>
              <w:jc w:val="left"/>
              <w:rPr>
                <w:sz w:val="16"/>
                <w:szCs w:val="16"/>
              </w:rPr>
            </w:pPr>
            <w:r w:rsidRPr="00EA2BB7">
              <w:rPr>
                <w:sz w:val="16"/>
                <w:szCs w:val="16"/>
              </w:rPr>
              <w:t>7</w:t>
            </w:r>
          </w:p>
        </w:tc>
        <w:tc>
          <w:tcPr>
            <w:tcW w:w="947" w:type="dxa"/>
            <w:vAlign w:val="bottom"/>
          </w:tcPr>
          <w:p w14:paraId="5278AEB3" w14:textId="2F86ED17" w:rsidR="00AA64E9" w:rsidRPr="00EA2BB7" w:rsidRDefault="00C87B7B" w:rsidP="00AA64E9">
            <w:pPr>
              <w:pStyle w:val="Text"/>
              <w:ind w:firstLine="0"/>
              <w:jc w:val="left"/>
              <w:rPr>
                <w:sz w:val="16"/>
                <w:szCs w:val="16"/>
              </w:rPr>
            </w:pPr>
            <w:r w:rsidRPr="00C87B7B">
              <w:rPr>
                <w:rFonts w:ascii="Symbol" w:hAnsi="Symbol"/>
                <w:sz w:val="16"/>
                <w:szCs w:val="16"/>
              </w:rPr>
              <w:t></w:t>
            </w:r>
            <w:r w:rsidR="00AA64E9" w:rsidRPr="00EA2BB7">
              <w:rPr>
                <w:sz w:val="16"/>
                <w:szCs w:val="16"/>
              </w:rPr>
              <w:t>5.8</w:t>
            </w:r>
          </w:p>
        </w:tc>
        <w:tc>
          <w:tcPr>
            <w:tcW w:w="992" w:type="dxa"/>
            <w:vAlign w:val="bottom"/>
          </w:tcPr>
          <w:p w14:paraId="7AD2E496" w14:textId="77777777" w:rsidR="00AA64E9" w:rsidRPr="00EA2BB7" w:rsidRDefault="00AA64E9" w:rsidP="00AA64E9">
            <w:pPr>
              <w:pStyle w:val="Text"/>
              <w:ind w:firstLine="0"/>
              <w:jc w:val="left"/>
              <w:rPr>
                <w:sz w:val="16"/>
                <w:szCs w:val="16"/>
              </w:rPr>
            </w:pPr>
            <w:r w:rsidRPr="00EA2BB7">
              <w:rPr>
                <w:sz w:val="16"/>
                <w:szCs w:val="16"/>
              </w:rPr>
              <w:t>3.218</w:t>
            </w:r>
          </w:p>
        </w:tc>
        <w:tc>
          <w:tcPr>
            <w:tcW w:w="1134" w:type="dxa"/>
            <w:vAlign w:val="bottom"/>
          </w:tcPr>
          <w:p w14:paraId="07984D59" w14:textId="77777777" w:rsidR="00AA64E9" w:rsidRPr="00EA2BB7" w:rsidRDefault="00AA64E9" w:rsidP="00AA64E9">
            <w:pPr>
              <w:pStyle w:val="Text"/>
              <w:ind w:firstLine="0"/>
              <w:jc w:val="left"/>
              <w:rPr>
                <w:sz w:val="16"/>
                <w:szCs w:val="16"/>
              </w:rPr>
            </w:pPr>
            <w:r w:rsidRPr="00EA2BB7">
              <w:rPr>
                <w:sz w:val="16"/>
                <w:szCs w:val="16"/>
              </w:rPr>
              <w:t>5.918</w:t>
            </w:r>
          </w:p>
        </w:tc>
      </w:tr>
      <w:tr w:rsidR="00C34D41" w:rsidRPr="00EA2BB7" w14:paraId="050E17C2" w14:textId="77777777" w:rsidTr="00311E0C">
        <w:tc>
          <w:tcPr>
            <w:tcW w:w="608" w:type="dxa"/>
          </w:tcPr>
          <w:p w14:paraId="2E612E79" w14:textId="77777777" w:rsidR="00AA64E9" w:rsidRPr="00EA2BB7" w:rsidRDefault="00AA64E9" w:rsidP="00AA64E9">
            <w:pPr>
              <w:pStyle w:val="Text"/>
              <w:ind w:firstLine="0"/>
              <w:jc w:val="left"/>
              <w:rPr>
                <w:sz w:val="16"/>
                <w:szCs w:val="16"/>
              </w:rPr>
            </w:pPr>
            <w:r w:rsidRPr="00EA2BB7">
              <w:rPr>
                <w:sz w:val="16"/>
                <w:szCs w:val="16"/>
              </w:rPr>
              <w:t>8</w:t>
            </w:r>
          </w:p>
        </w:tc>
        <w:tc>
          <w:tcPr>
            <w:tcW w:w="947" w:type="dxa"/>
            <w:vAlign w:val="bottom"/>
          </w:tcPr>
          <w:p w14:paraId="61409B51" w14:textId="1C0BA285" w:rsidR="00AA64E9" w:rsidRPr="00EA2BB7" w:rsidRDefault="00C87B7B" w:rsidP="00AA64E9">
            <w:pPr>
              <w:pStyle w:val="Text"/>
              <w:ind w:firstLine="0"/>
              <w:jc w:val="left"/>
              <w:rPr>
                <w:sz w:val="16"/>
                <w:szCs w:val="16"/>
              </w:rPr>
            </w:pPr>
            <w:r w:rsidRPr="00C87B7B">
              <w:rPr>
                <w:rFonts w:ascii="Symbol" w:hAnsi="Symbol"/>
                <w:sz w:val="16"/>
                <w:szCs w:val="16"/>
              </w:rPr>
              <w:t></w:t>
            </w:r>
            <w:r w:rsidR="00AA64E9" w:rsidRPr="00EA2BB7">
              <w:rPr>
                <w:sz w:val="16"/>
                <w:szCs w:val="16"/>
              </w:rPr>
              <w:t>5.7</w:t>
            </w:r>
          </w:p>
        </w:tc>
        <w:tc>
          <w:tcPr>
            <w:tcW w:w="992" w:type="dxa"/>
            <w:vAlign w:val="bottom"/>
          </w:tcPr>
          <w:p w14:paraId="06935795" w14:textId="77777777" w:rsidR="00AA64E9" w:rsidRPr="00EA2BB7" w:rsidRDefault="00AA64E9" w:rsidP="00AA64E9">
            <w:pPr>
              <w:pStyle w:val="Text"/>
              <w:ind w:firstLine="0"/>
              <w:jc w:val="left"/>
              <w:rPr>
                <w:sz w:val="16"/>
                <w:szCs w:val="16"/>
              </w:rPr>
            </w:pPr>
            <w:r w:rsidRPr="00EA2BB7">
              <w:rPr>
                <w:sz w:val="16"/>
                <w:szCs w:val="16"/>
              </w:rPr>
              <w:t>45.26</w:t>
            </w:r>
          </w:p>
        </w:tc>
        <w:tc>
          <w:tcPr>
            <w:tcW w:w="1134" w:type="dxa"/>
            <w:vAlign w:val="bottom"/>
          </w:tcPr>
          <w:p w14:paraId="5D93AAD8" w14:textId="77777777" w:rsidR="00AA64E9" w:rsidRPr="00EA2BB7" w:rsidRDefault="00AA64E9" w:rsidP="00AA64E9">
            <w:pPr>
              <w:pStyle w:val="Text"/>
              <w:ind w:firstLine="0"/>
              <w:jc w:val="left"/>
              <w:rPr>
                <w:sz w:val="16"/>
                <w:szCs w:val="16"/>
              </w:rPr>
            </w:pPr>
            <w:r w:rsidRPr="00EA2BB7">
              <w:rPr>
                <w:sz w:val="16"/>
                <w:szCs w:val="16"/>
              </w:rPr>
              <w:t>50.307</w:t>
            </w:r>
          </w:p>
        </w:tc>
      </w:tr>
      <w:tr w:rsidR="00C34D41" w:rsidRPr="00EA2BB7" w14:paraId="24CD6A60" w14:textId="77777777" w:rsidTr="00311E0C">
        <w:tc>
          <w:tcPr>
            <w:tcW w:w="608" w:type="dxa"/>
          </w:tcPr>
          <w:p w14:paraId="08B2278D" w14:textId="77777777" w:rsidR="00AA64E9" w:rsidRPr="00EA2BB7" w:rsidRDefault="00AA64E9" w:rsidP="00AA64E9">
            <w:pPr>
              <w:pStyle w:val="Text"/>
              <w:ind w:firstLine="0"/>
              <w:jc w:val="left"/>
              <w:rPr>
                <w:sz w:val="16"/>
                <w:szCs w:val="16"/>
              </w:rPr>
            </w:pPr>
            <w:r w:rsidRPr="00EA2BB7">
              <w:rPr>
                <w:sz w:val="16"/>
                <w:szCs w:val="16"/>
              </w:rPr>
              <w:t>9</w:t>
            </w:r>
          </w:p>
        </w:tc>
        <w:tc>
          <w:tcPr>
            <w:tcW w:w="947" w:type="dxa"/>
            <w:vAlign w:val="bottom"/>
          </w:tcPr>
          <w:p w14:paraId="35A3F6EF" w14:textId="49DE32F1" w:rsidR="00AA64E9" w:rsidRPr="00EA2BB7" w:rsidRDefault="00C87B7B" w:rsidP="00AA64E9">
            <w:pPr>
              <w:pStyle w:val="Text"/>
              <w:ind w:firstLine="0"/>
              <w:jc w:val="left"/>
              <w:rPr>
                <w:sz w:val="16"/>
                <w:szCs w:val="16"/>
              </w:rPr>
            </w:pPr>
            <w:r w:rsidRPr="00C87B7B">
              <w:rPr>
                <w:rFonts w:ascii="Symbol" w:hAnsi="Symbol"/>
                <w:sz w:val="16"/>
                <w:szCs w:val="16"/>
              </w:rPr>
              <w:t></w:t>
            </w:r>
            <w:r w:rsidR="00AA64E9" w:rsidRPr="00EA2BB7">
              <w:rPr>
                <w:sz w:val="16"/>
                <w:szCs w:val="16"/>
              </w:rPr>
              <w:t>5.7</w:t>
            </w:r>
          </w:p>
        </w:tc>
        <w:tc>
          <w:tcPr>
            <w:tcW w:w="992" w:type="dxa"/>
            <w:vAlign w:val="bottom"/>
          </w:tcPr>
          <w:p w14:paraId="6E44F6D4" w14:textId="77777777" w:rsidR="00AA64E9" w:rsidRPr="00EA2BB7" w:rsidRDefault="00AA64E9" w:rsidP="00AA64E9">
            <w:pPr>
              <w:pStyle w:val="Text"/>
              <w:ind w:firstLine="0"/>
              <w:jc w:val="left"/>
              <w:rPr>
                <w:sz w:val="16"/>
                <w:szCs w:val="16"/>
              </w:rPr>
            </w:pPr>
            <w:r w:rsidRPr="00EA2BB7">
              <w:rPr>
                <w:sz w:val="16"/>
                <w:szCs w:val="16"/>
              </w:rPr>
              <w:t>71.798</w:t>
            </w:r>
          </w:p>
        </w:tc>
        <w:tc>
          <w:tcPr>
            <w:tcW w:w="1134" w:type="dxa"/>
            <w:vAlign w:val="bottom"/>
          </w:tcPr>
          <w:p w14:paraId="66BE1235" w14:textId="77777777" w:rsidR="00AA64E9" w:rsidRPr="00EA2BB7" w:rsidRDefault="00AA64E9" w:rsidP="00AA64E9">
            <w:pPr>
              <w:pStyle w:val="Text"/>
              <w:ind w:firstLine="0"/>
              <w:jc w:val="left"/>
              <w:rPr>
                <w:sz w:val="16"/>
                <w:szCs w:val="16"/>
              </w:rPr>
            </w:pPr>
            <w:r w:rsidRPr="00EA2BB7">
              <w:rPr>
                <w:sz w:val="16"/>
                <w:szCs w:val="16"/>
              </w:rPr>
              <w:t>76.645</w:t>
            </w:r>
          </w:p>
        </w:tc>
      </w:tr>
      <w:bookmarkEnd w:id="2"/>
    </w:tbl>
    <w:p w14:paraId="583C6292" w14:textId="04DA9348" w:rsidR="00D512F8" w:rsidRPr="00EA2BB7" w:rsidRDefault="00D512F8" w:rsidP="00D512F8">
      <w:pPr>
        <w:pStyle w:val="Text"/>
        <w:ind w:firstLine="0"/>
        <w:jc w:val="left"/>
      </w:pPr>
    </w:p>
    <w:p w14:paraId="1F9E6AFC" w14:textId="62A6A017" w:rsidR="00D512F8" w:rsidRPr="00EA2BB7" w:rsidRDefault="00D512F8" w:rsidP="00D512F8">
      <w:pPr>
        <w:pStyle w:val="Text"/>
        <w:ind w:firstLine="0"/>
        <w:jc w:val="left"/>
      </w:pPr>
    </w:p>
    <w:p w14:paraId="1B7B0743" w14:textId="4CB7602E" w:rsidR="00D512F8" w:rsidRPr="00EA2BB7" w:rsidRDefault="00D512F8" w:rsidP="00D512F8">
      <w:pPr>
        <w:pStyle w:val="Text"/>
        <w:ind w:firstLine="0"/>
        <w:jc w:val="left"/>
      </w:pPr>
    </w:p>
    <w:p w14:paraId="59D25447" w14:textId="77777777" w:rsidR="00D512F8" w:rsidRPr="00EA2BB7" w:rsidRDefault="00D512F8" w:rsidP="00D512F8">
      <w:pPr>
        <w:pStyle w:val="Text"/>
        <w:ind w:firstLine="0"/>
        <w:jc w:val="left"/>
      </w:pPr>
    </w:p>
    <w:p w14:paraId="74F817CF" w14:textId="77777777" w:rsidR="00D512F8" w:rsidRPr="00EA2BB7" w:rsidRDefault="00D512F8" w:rsidP="00D512F8">
      <w:pPr>
        <w:pStyle w:val="Text"/>
        <w:ind w:firstLine="0"/>
        <w:jc w:val="left"/>
      </w:pPr>
    </w:p>
    <w:p w14:paraId="0BF9F404" w14:textId="0E9B5394" w:rsidR="003002E7" w:rsidRPr="00EA2BB7" w:rsidRDefault="003002E7" w:rsidP="00D512F8">
      <w:pPr>
        <w:pStyle w:val="Text"/>
        <w:ind w:firstLine="0"/>
        <w:jc w:val="left"/>
      </w:pPr>
    </w:p>
    <w:p w14:paraId="66F2E73A" w14:textId="77777777" w:rsidR="00F66955" w:rsidRPr="00EA2BB7" w:rsidRDefault="00F66955" w:rsidP="006F4EFC">
      <w:pPr>
        <w:pStyle w:val="Text"/>
        <w:ind w:firstLine="0"/>
        <w:jc w:val="left"/>
        <w:rPr>
          <w:sz w:val="18"/>
          <w:szCs w:val="18"/>
        </w:rPr>
      </w:pPr>
    </w:p>
    <w:p w14:paraId="13F717F5" w14:textId="313D86B1" w:rsidR="003002E7" w:rsidRPr="00EA2BB7" w:rsidRDefault="00306F31" w:rsidP="004C4792">
      <w:pPr>
        <w:pStyle w:val="Figures"/>
      </w:pPr>
      <w:r>
        <w:rPr>
          <w:noProof/>
        </w:rPr>
        <w:drawing>
          <wp:anchor distT="0" distB="0" distL="114300" distR="114300" simplePos="0" relativeHeight="251668992" behindDoc="0" locked="0" layoutInCell="1" allowOverlap="1" wp14:anchorId="3D331C71" wp14:editId="1E29C30A">
            <wp:simplePos x="0" y="0"/>
            <wp:positionH relativeFrom="column">
              <wp:posOffset>-36681</wp:posOffset>
            </wp:positionH>
            <wp:positionV relativeFrom="paragraph">
              <wp:posOffset>449624</wp:posOffset>
            </wp:positionV>
            <wp:extent cx="1866824" cy="2015933"/>
            <wp:effectExtent l="0" t="0" r="63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plot_kermesic_interaction.png"/>
                    <pic:cNvPicPr/>
                  </pic:nvPicPr>
                  <pic:blipFill>
                    <a:blip r:embed="rId13" cstate="print">
                      <a:grayscl/>
                      <a:extLst>
                        <a:ext uri="{28A0092B-C50C-407E-A947-70E740481C1C}">
                          <a14:useLocalDpi xmlns:a14="http://schemas.microsoft.com/office/drawing/2010/main" val="0"/>
                        </a:ext>
                      </a:extLst>
                    </a:blip>
                    <a:stretch>
                      <a:fillRect/>
                    </a:stretch>
                  </pic:blipFill>
                  <pic:spPr>
                    <a:xfrm>
                      <a:off x="0" y="0"/>
                      <a:ext cx="1866824" cy="2015933"/>
                    </a:xfrm>
                    <a:prstGeom prst="rect">
                      <a:avLst/>
                    </a:prstGeom>
                  </pic:spPr>
                </pic:pic>
              </a:graphicData>
            </a:graphic>
            <wp14:sizeRelH relativeFrom="margin">
              <wp14:pctWidth>0</wp14:pctWidth>
            </wp14:sizeRelH>
            <wp14:sizeRelV relativeFrom="margin">
              <wp14:pctHeight>0</wp14:pctHeight>
            </wp14:sizeRelV>
          </wp:anchor>
        </w:drawing>
      </w:r>
      <w:r w:rsidR="006F4EFC" w:rsidRPr="00EA2BB7">
        <w:t>Fig. 1. Representation of carminic acid      interaction with alpha synuclein</w:t>
      </w:r>
      <w:r w:rsidR="00467722" w:rsidRPr="00EA2BB7">
        <w:t>.</w:t>
      </w:r>
    </w:p>
    <w:p w14:paraId="14AE2382" w14:textId="13531A43" w:rsidR="00396F96" w:rsidRPr="00EA2BB7" w:rsidRDefault="00396F96" w:rsidP="00030884">
      <w:pPr>
        <w:pStyle w:val="Tableno"/>
        <w:ind w:left="5040"/>
        <w:jc w:val="both"/>
      </w:pPr>
      <w:r w:rsidRPr="00EA2BB7">
        <w:t xml:space="preserve">Table 3 </w:t>
      </w:r>
    </w:p>
    <w:p w14:paraId="779501A6" w14:textId="150304B7" w:rsidR="00396F96" w:rsidRPr="00EA2BB7" w:rsidRDefault="00396F96" w:rsidP="00396F96">
      <w:pPr>
        <w:pStyle w:val="Tabletitle"/>
      </w:pPr>
      <w:r w:rsidRPr="00EA2BB7">
        <w:t xml:space="preserve">                                                                           </w:t>
      </w:r>
      <w:proofErr w:type="spellStart"/>
      <w:r w:rsidRPr="00EA2BB7">
        <w:t>Kermesic</w:t>
      </w:r>
      <w:proofErr w:type="spellEnd"/>
      <w:r w:rsidRPr="00EA2BB7">
        <w:t xml:space="preserve"> acid binding affinities</w:t>
      </w:r>
    </w:p>
    <w:tbl>
      <w:tblPr>
        <w:tblStyle w:val="TableGrid"/>
        <w:tblpPr w:leftFromText="180" w:rightFromText="180" w:vertAnchor="text" w:horzAnchor="margin" w:tblpXSpec="right" w:tblpY="195"/>
        <w:tblW w:w="0" w:type="auto"/>
        <w:tblLook w:val="04A0" w:firstRow="1" w:lastRow="0" w:firstColumn="1" w:lastColumn="0" w:noHBand="0" w:noVBand="1"/>
      </w:tblPr>
      <w:tblGrid>
        <w:gridCol w:w="608"/>
        <w:gridCol w:w="910"/>
        <w:gridCol w:w="1029"/>
        <w:gridCol w:w="992"/>
      </w:tblGrid>
      <w:tr w:rsidR="00C34D41" w:rsidRPr="00EA2BB7" w14:paraId="51BB377E" w14:textId="77777777" w:rsidTr="003B6C92">
        <w:tc>
          <w:tcPr>
            <w:tcW w:w="608" w:type="dxa"/>
            <w:vMerge w:val="restart"/>
            <w:shd w:val="clear" w:color="auto" w:fill="F2F2F2" w:themeFill="background1" w:themeFillShade="F2"/>
          </w:tcPr>
          <w:p w14:paraId="0ABF1B0D" w14:textId="77777777" w:rsidR="00396F96" w:rsidRPr="00EA2BB7" w:rsidRDefault="00396F96" w:rsidP="00396F96">
            <w:pPr>
              <w:pStyle w:val="Text"/>
              <w:ind w:firstLine="0"/>
              <w:jc w:val="center"/>
              <w:rPr>
                <w:b/>
                <w:bCs/>
                <w:sz w:val="16"/>
                <w:szCs w:val="16"/>
              </w:rPr>
            </w:pPr>
            <w:r w:rsidRPr="00EA2BB7">
              <w:rPr>
                <w:b/>
                <w:bCs/>
                <w:sz w:val="16"/>
                <w:szCs w:val="16"/>
              </w:rPr>
              <w:t>Mode</w:t>
            </w:r>
          </w:p>
        </w:tc>
        <w:tc>
          <w:tcPr>
            <w:tcW w:w="910" w:type="dxa"/>
            <w:vMerge w:val="restart"/>
            <w:shd w:val="clear" w:color="auto" w:fill="F2F2F2" w:themeFill="background1" w:themeFillShade="F2"/>
          </w:tcPr>
          <w:p w14:paraId="607D6D08" w14:textId="77777777" w:rsidR="00396F96" w:rsidRPr="00C061C1" w:rsidRDefault="00396F96" w:rsidP="00396F96">
            <w:pPr>
              <w:pStyle w:val="Text"/>
              <w:ind w:firstLine="0"/>
              <w:jc w:val="center"/>
              <w:rPr>
                <w:b/>
                <w:bCs/>
                <w:sz w:val="16"/>
                <w:szCs w:val="16"/>
              </w:rPr>
            </w:pPr>
            <w:r w:rsidRPr="00C061C1">
              <w:rPr>
                <w:b/>
                <w:bCs/>
                <w:sz w:val="16"/>
                <w:szCs w:val="16"/>
              </w:rPr>
              <w:t>Affinity</w:t>
            </w:r>
          </w:p>
          <w:p w14:paraId="46CCA54C" w14:textId="419B78E6" w:rsidR="00396F96" w:rsidRPr="00C061C1" w:rsidRDefault="00396F96" w:rsidP="00396F96">
            <w:pPr>
              <w:pStyle w:val="Text"/>
              <w:ind w:firstLine="0"/>
              <w:jc w:val="center"/>
              <w:rPr>
                <w:b/>
                <w:bCs/>
                <w:sz w:val="16"/>
                <w:szCs w:val="16"/>
              </w:rPr>
            </w:pPr>
            <w:r w:rsidRPr="00C061C1">
              <w:rPr>
                <w:b/>
                <w:bCs/>
                <w:sz w:val="16"/>
                <w:szCs w:val="16"/>
              </w:rPr>
              <w:t>(</w:t>
            </w:r>
            <w:r w:rsidR="00467722" w:rsidRPr="00C061C1">
              <w:rPr>
                <w:b/>
                <w:bCs/>
                <w:sz w:val="16"/>
                <w:szCs w:val="16"/>
              </w:rPr>
              <w:t>k</w:t>
            </w:r>
            <w:r w:rsidRPr="00C061C1">
              <w:rPr>
                <w:b/>
                <w:bCs/>
                <w:sz w:val="16"/>
                <w:szCs w:val="16"/>
              </w:rPr>
              <w:t>cal/mol)</w:t>
            </w:r>
          </w:p>
        </w:tc>
        <w:tc>
          <w:tcPr>
            <w:tcW w:w="2021" w:type="dxa"/>
            <w:gridSpan w:val="2"/>
            <w:shd w:val="clear" w:color="auto" w:fill="F2F2F2" w:themeFill="background1" w:themeFillShade="F2"/>
          </w:tcPr>
          <w:p w14:paraId="33EE22D6" w14:textId="77777777" w:rsidR="00396F96" w:rsidRPr="00EA2BB7" w:rsidRDefault="00396F96" w:rsidP="00396F96">
            <w:pPr>
              <w:pStyle w:val="Text"/>
              <w:ind w:firstLine="0"/>
              <w:jc w:val="center"/>
              <w:rPr>
                <w:b/>
                <w:bCs/>
                <w:sz w:val="16"/>
                <w:szCs w:val="16"/>
              </w:rPr>
            </w:pPr>
            <w:r w:rsidRPr="00EA2BB7">
              <w:rPr>
                <w:b/>
                <w:bCs/>
                <w:sz w:val="16"/>
                <w:szCs w:val="16"/>
              </w:rPr>
              <w:t>Distance from best mode</w:t>
            </w:r>
          </w:p>
        </w:tc>
      </w:tr>
      <w:tr w:rsidR="00C34D41" w:rsidRPr="00EA2BB7" w14:paraId="0401A98A" w14:textId="77777777" w:rsidTr="003B6C92">
        <w:tc>
          <w:tcPr>
            <w:tcW w:w="608" w:type="dxa"/>
            <w:vMerge/>
            <w:shd w:val="clear" w:color="auto" w:fill="F2F2F2" w:themeFill="background1" w:themeFillShade="F2"/>
          </w:tcPr>
          <w:p w14:paraId="164CCF1E" w14:textId="77777777" w:rsidR="00396F96" w:rsidRPr="00EA2BB7" w:rsidRDefault="00396F96" w:rsidP="00396F96">
            <w:pPr>
              <w:pStyle w:val="Text"/>
              <w:ind w:firstLine="0"/>
              <w:jc w:val="center"/>
              <w:rPr>
                <w:b/>
                <w:bCs/>
                <w:sz w:val="16"/>
                <w:szCs w:val="16"/>
              </w:rPr>
            </w:pPr>
          </w:p>
        </w:tc>
        <w:tc>
          <w:tcPr>
            <w:tcW w:w="910" w:type="dxa"/>
            <w:vMerge/>
            <w:shd w:val="clear" w:color="auto" w:fill="F2F2F2" w:themeFill="background1" w:themeFillShade="F2"/>
          </w:tcPr>
          <w:p w14:paraId="1BB26C6C" w14:textId="77777777" w:rsidR="00396F96" w:rsidRPr="00EA2BB7" w:rsidRDefault="00396F96" w:rsidP="00396F96">
            <w:pPr>
              <w:pStyle w:val="Text"/>
              <w:ind w:firstLine="0"/>
              <w:jc w:val="center"/>
              <w:rPr>
                <w:b/>
                <w:bCs/>
                <w:sz w:val="16"/>
                <w:szCs w:val="16"/>
              </w:rPr>
            </w:pPr>
          </w:p>
        </w:tc>
        <w:tc>
          <w:tcPr>
            <w:tcW w:w="1029" w:type="dxa"/>
            <w:shd w:val="clear" w:color="auto" w:fill="F2F2F2" w:themeFill="background1" w:themeFillShade="F2"/>
          </w:tcPr>
          <w:p w14:paraId="26F61964" w14:textId="77777777" w:rsidR="00396F96" w:rsidRPr="00EA2BB7" w:rsidRDefault="00396F96" w:rsidP="00396F96">
            <w:pPr>
              <w:pStyle w:val="Text"/>
              <w:ind w:firstLine="0"/>
              <w:jc w:val="center"/>
              <w:rPr>
                <w:b/>
                <w:bCs/>
                <w:sz w:val="16"/>
                <w:szCs w:val="16"/>
              </w:rPr>
            </w:pPr>
            <w:r w:rsidRPr="00EA2BB7">
              <w:rPr>
                <w:b/>
                <w:bCs/>
                <w:sz w:val="16"/>
                <w:szCs w:val="16"/>
              </w:rPr>
              <w:t xml:space="preserve">RMSD </w:t>
            </w:r>
            <w:proofErr w:type="spellStart"/>
            <w:r w:rsidRPr="00EA2BB7">
              <w:rPr>
                <w:b/>
                <w:bCs/>
                <w:sz w:val="16"/>
                <w:szCs w:val="16"/>
              </w:rPr>
              <w:t>l.b</w:t>
            </w:r>
            <w:proofErr w:type="spellEnd"/>
            <w:r w:rsidRPr="00EA2BB7">
              <w:rPr>
                <w:b/>
                <w:bCs/>
                <w:sz w:val="16"/>
                <w:szCs w:val="16"/>
              </w:rPr>
              <w:t>.</w:t>
            </w:r>
          </w:p>
        </w:tc>
        <w:tc>
          <w:tcPr>
            <w:tcW w:w="992" w:type="dxa"/>
            <w:shd w:val="clear" w:color="auto" w:fill="F2F2F2" w:themeFill="background1" w:themeFillShade="F2"/>
          </w:tcPr>
          <w:p w14:paraId="4A38E6F9" w14:textId="77777777" w:rsidR="00396F96" w:rsidRPr="00EA2BB7" w:rsidRDefault="00396F96" w:rsidP="00396F96">
            <w:pPr>
              <w:pStyle w:val="Text"/>
              <w:ind w:firstLine="0"/>
              <w:jc w:val="center"/>
              <w:rPr>
                <w:b/>
                <w:bCs/>
                <w:sz w:val="16"/>
                <w:szCs w:val="16"/>
              </w:rPr>
            </w:pPr>
            <w:r w:rsidRPr="00EA2BB7">
              <w:rPr>
                <w:b/>
                <w:bCs/>
                <w:sz w:val="16"/>
                <w:szCs w:val="16"/>
              </w:rPr>
              <w:t xml:space="preserve">RMSD </w:t>
            </w:r>
            <w:proofErr w:type="spellStart"/>
            <w:r w:rsidRPr="00EA2BB7">
              <w:rPr>
                <w:b/>
                <w:bCs/>
                <w:sz w:val="16"/>
                <w:szCs w:val="16"/>
              </w:rPr>
              <w:t>u.b</w:t>
            </w:r>
            <w:proofErr w:type="spellEnd"/>
            <w:r w:rsidRPr="00EA2BB7">
              <w:rPr>
                <w:b/>
                <w:bCs/>
                <w:sz w:val="16"/>
                <w:szCs w:val="16"/>
              </w:rPr>
              <w:t>.</w:t>
            </w:r>
          </w:p>
        </w:tc>
      </w:tr>
      <w:tr w:rsidR="00C34D41" w:rsidRPr="00EA2BB7" w14:paraId="2F41E6CC" w14:textId="77777777" w:rsidTr="003B6C92">
        <w:tc>
          <w:tcPr>
            <w:tcW w:w="608" w:type="dxa"/>
          </w:tcPr>
          <w:p w14:paraId="4ED1C6C2" w14:textId="77777777" w:rsidR="00396F96" w:rsidRPr="00EA2BB7" w:rsidRDefault="00396F96" w:rsidP="00396F96">
            <w:pPr>
              <w:pStyle w:val="Text"/>
              <w:ind w:firstLine="0"/>
              <w:jc w:val="left"/>
              <w:rPr>
                <w:sz w:val="16"/>
                <w:szCs w:val="16"/>
              </w:rPr>
            </w:pPr>
            <w:r w:rsidRPr="00EA2BB7">
              <w:rPr>
                <w:sz w:val="16"/>
                <w:szCs w:val="16"/>
              </w:rPr>
              <w:t>1</w:t>
            </w:r>
          </w:p>
        </w:tc>
        <w:tc>
          <w:tcPr>
            <w:tcW w:w="910" w:type="dxa"/>
            <w:vAlign w:val="bottom"/>
          </w:tcPr>
          <w:p w14:paraId="60C2E015" w14:textId="17EEF683" w:rsidR="00396F96" w:rsidRPr="00EA2BB7" w:rsidRDefault="00C87B7B" w:rsidP="00396F96">
            <w:pPr>
              <w:pStyle w:val="Text"/>
              <w:ind w:firstLine="0"/>
              <w:jc w:val="left"/>
              <w:rPr>
                <w:sz w:val="16"/>
                <w:szCs w:val="16"/>
              </w:rPr>
            </w:pPr>
            <w:r w:rsidRPr="00C87B7B">
              <w:rPr>
                <w:rFonts w:ascii="Symbol" w:hAnsi="Symbol"/>
                <w:sz w:val="16"/>
                <w:szCs w:val="16"/>
              </w:rPr>
              <w:t></w:t>
            </w:r>
            <w:r w:rsidR="00396F96" w:rsidRPr="00EA2BB7">
              <w:rPr>
                <w:sz w:val="16"/>
                <w:szCs w:val="16"/>
              </w:rPr>
              <w:t>6.5</w:t>
            </w:r>
          </w:p>
        </w:tc>
        <w:tc>
          <w:tcPr>
            <w:tcW w:w="1029" w:type="dxa"/>
            <w:vAlign w:val="bottom"/>
          </w:tcPr>
          <w:p w14:paraId="2F1B7D24" w14:textId="77777777" w:rsidR="00396F96" w:rsidRPr="00EA2BB7" w:rsidRDefault="00396F96" w:rsidP="00396F96">
            <w:pPr>
              <w:pStyle w:val="Text"/>
              <w:ind w:firstLine="0"/>
              <w:jc w:val="left"/>
              <w:rPr>
                <w:sz w:val="16"/>
                <w:szCs w:val="16"/>
              </w:rPr>
            </w:pPr>
            <w:r w:rsidRPr="00EA2BB7">
              <w:rPr>
                <w:sz w:val="16"/>
                <w:szCs w:val="16"/>
              </w:rPr>
              <w:t>0</w:t>
            </w:r>
          </w:p>
        </w:tc>
        <w:tc>
          <w:tcPr>
            <w:tcW w:w="992" w:type="dxa"/>
            <w:vAlign w:val="bottom"/>
          </w:tcPr>
          <w:p w14:paraId="4C9C9D0D" w14:textId="77777777" w:rsidR="00396F96" w:rsidRPr="00EA2BB7" w:rsidRDefault="00396F96" w:rsidP="00396F96">
            <w:pPr>
              <w:pStyle w:val="Text"/>
              <w:ind w:firstLine="0"/>
              <w:jc w:val="left"/>
              <w:rPr>
                <w:sz w:val="16"/>
                <w:szCs w:val="16"/>
              </w:rPr>
            </w:pPr>
            <w:r w:rsidRPr="00EA2BB7">
              <w:rPr>
                <w:sz w:val="16"/>
                <w:szCs w:val="16"/>
              </w:rPr>
              <w:t>0</w:t>
            </w:r>
          </w:p>
        </w:tc>
      </w:tr>
      <w:tr w:rsidR="00C34D41" w:rsidRPr="00EA2BB7" w14:paraId="39E487E0" w14:textId="77777777" w:rsidTr="003B6C92">
        <w:tc>
          <w:tcPr>
            <w:tcW w:w="608" w:type="dxa"/>
          </w:tcPr>
          <w:p w14:paraId="0E3FE93E" w14:textId="77777777" w:rsidR="00396F96" w:rsidRPr="00EA2BB7" w:rsidRDefault="00396F96" w:rsidP="00396F96">
            <w:pPr>
              <w:pStyle w:val="Text"/>
              <w:ind w:firstLine="0"/>
              <w:jc w:val="left"/>
              <w:rPr>
                <w:sz w:val="16"/>
                <w:szCs w:val="16"/>
              </w:rPr>
            </w:pPr>
            <w:r w:rsidRPr="00EA2BB7">
              <w:rPr>
                <w:sz w:val="16"/>
                <w:szCs w:val="16"/>
              </w:rPr>
              <w:t>2</w:t>
            </w:r>
          </w:p>
        </w:tc>
        <w:tc>
          <w:tcPr>
            <w:tcW w:w="910" w:type="dxa"/>
            <w:vAlign w:val="bottom"/>
          </w:tcPr>
          <w:p w14:paraId="44E3ADCA" w14:textId="05D40062" w:rsidR="00396F96" w:rsidRPr="00EA2BB7" w:rsidRDefault="00C87B7B" w:rsidP="00396F96">
            <w:pPr>
              <w:pStyle w:val="Text"/>
              <w:ind w:firstLine="0"/>
              <w:jc w:val="left"/>
              <w:rPr>
                <w:sz w:val="16"/>
                <w:szCs w:val="16"/>
              </w:rPr>
            </w:pPr>
            <w:r w:rsidRPr="00C87B7B">
              <w:rPr>
                <w:rFonts w:ascii="Symbol" w:hAnsi="Symbol"/>
                <w:sz w:val="16"/>
                <w:szCs w:val="16"/>
              </w:rPr>
              <w:t></w:t>
            </w:r>
            <w:r w:rsidR="00396F96" w:rsidRPr="00EA2BB7">
              <w:rPr>
                <w:sz w:val="16"/>
                <w:szCs w:val="16"/>
              </w:rPr>
              <w:t>6.2</w:t>
            </w:r>
          </w:p>
        </w:tc>
        <w:tc>
          <w:tcPr>
            <w:tcW w:w="1029" w:type="dxa"/>
            <w:vAlign w:val="bottom"/>
          </w:tcPr>
          <w:p w14:paraId="6D8EF60C" w14:textId="77777777" w:rsidR="00396F96" w:rsidRPr="00EA2BB7" w:rsidRDefault="00396F96" w:rsidP="00396F96">
            <w:pPr>
              <w:pStyle w:val="Text"/>
              <w:ind w:firstLine="0"/>
              <w:jc w:val="left"/>
              <w:rPr>
                <w:sz w:val="16"/>
                <w:szCs w:val="16"/>
              </w:rPr>
            </w:pPr>
            <w:r w:rsidRPr="00EA2BB7">
              <w:rPr>
                <w:sz w:val="16"/>
                <w:szCs w:val="16"/>
              </w:rPr>
              <w:t>2.015</w:t>
            </w:r>
          </w:p>
        </w:tc>
        <w:tc>
          <w:tcPr>
            <w:tcW w:w="992" w:type="dxa"/>
            <w:vAlign w:val="bottom"/>
          </w:tcPr>
          <w:p w14:paraId="20821822" w14:textId="77777777" w:rsidR="00396F96" w:rsidRPr="00EA2BB7" w:rsidRDefault="00396F96" w:rsidP="00396F96">
            <w:pPr>
              <w:pStyle w:val="Text"/>
              <w:ind w:firstLine="0"/>
              <w:jc w:val="left"/>
              <w:rPr>
                <w:sz w:val="16"/>
                <w:szCs w:val="16"/>
              </w:rPr>
            </w:pPr>
            <w:r w:rsidRPr="00EA2BB7">
              <w:rPr>
                <w:sz w:val="16"/>
                <w:szCs w:val="16"/>
              </w:rPr>
              <w:t>2.712</w:t>
            </w:r>
          </w:p>
        </w:tc>
      </w:tr>
      <w:tr w:rsidR="00C34D41" w:rsidRPr="00EA2BB7" w14:paraId="7A63CD37" w14:textId="77777777" w:rsidTr="003B6C92">
        <w:tc>
          <w:tcPr>
            <w:tcW w:w="608" w:type="dxa"/>
          </w:tcPr>
          <w:p w14:paraId="0F3D66B5" w14:textId="77777777" w:rsidR="00396F96" w:rsidRPr="00EA2BB7" w:rsidRDefault="00396F96" w:rsidP="00396F96">
            <w:pPr>
              <w:pStyle w:val="Text"/>
              <w:ind w:firstLine="0"/>
              <w:jc w:val="left"/>
              <w:rPr>
                <w:sz w:val="16"/>
                <w:szCs w:val="16"/>
              </w:rPr>
            </w:pPr>
            <w:r w:rsidRPr="00EA2BB7">
              <w:rPr>
                <w:sz w:val="16"/>
                <w:szCs w:val="16"/>
              </w:rPr>
              <w:t>3</w:t>
            </w:r>
          </w:p>
        </w:tc>
        <w:tc>
          <w:tcPr>
            <w:tcW w:w="910" w:type="dxa"/>
            <w:vAlign w:val="bottom"/>
          </w:tcPr>
          <w:p w14:paraId="4199E86C" w14:textId="1A685C1D" w:rsidR="00396F96" w:rsidRPr="00EA2BB7" w:rsidRDefault="00C87B7B" w:rsidP="00396F96">
            <w:pPr>
              <w:pStyle w:val="Text"/>
              <w:ind w:firstLine="0"/>
              <w:jc w:val="left"/>
              <w:rPr>
                <w:sz w:val="16"/>
                <w:szCs w:val="16"/>
              </w:rPr>
            </w:pPr>
            <w:r w:rsidRPr="00C87B7B">
              <w:rPr>
                <w:rFonts w:ascii="Symbol" w:hAnsi="Symbol"/>
                <w:sz w:val="16"/>
                <w:szCs w:val="16"/>
              </w:rPr>
              <w:t></w:t>
            </w:r>
            <w:r w:rsidR="00396F96" w:rsidRPr="00EA2BB7">
              <w:rPr>
                <w:sz w:val="16"/>
                <w:szCs w:val="16"/>
              </w:rPr>
              <w:t>6.2</w:t>
            </w:r>
          </w:p>
        </w:tc>
        <w:tc>
          <w:tcPr>
            <w:tcW w:w="1029" w:type="dxa"/>
            <w:vAlign w:val="bottom"/>
          </w:tcPr>
          <w:p w14:paraId="487659B1" w14:textId="77777777" w:rsidR="00396F96" w:rsidRPr="00EA2BB7" w:rsidRDefault="00396F96" w:rsidP="00396F96">
            <w:pPr>
              <w:pStyle w:val="Text"/>
              <w:ind w:firstLine="0"/>
              <w:jc w:val="left"/>
              <w:rPr>
                <w:sz w:val="16"/>
                <w:szCs w:val="16"/>
              </w:rPr>
            </w:pPr>
            <w:r w:rsidRPr="00EA2BB7">
              <w:rPr>
                <w:sz w:val="16"/>
                <w:szCs w:val="16"/>
              </w:rPr>
              <w:t>2.159</w:t>
            </w:r>
          </w:p>
        </w:tc>
        <w:tc>
          <w:tcPr>
            <w:tcW w:w="992" w:type="dxa"/>
            <w:vAlign w:val="bottom"/>
          </w:tcPr>
          <w:p w14:paraId="7F5BA8B3" w14:textId="77777777" w:rsidR="00396F96" w:rsidRPr="00EA2BB7" w:rsidRDefault="00396F96" w:rsidP="00396F96">
            <w:pPr>
              <w:pStyle w:val="Text"/>
              <w:ind w:firstLine="0"/>
              <w:jc w:val="left"/>
              <w:rPr>
                <w:sz w:val="16"/>
                <w:szCs w:val="16"/>
              </w:rPr>
            </w:pPr>
            <w:r w:rsidRPr="00EA2BB7">
              <w:rPr>
                <w:sz w:val="16"/>
                <w:szCs w:val="16"/>
              </w:rPr>
              <w:t>6.879</w:t>
            </w:r>
          </w:p>
        </w:tc>
      </w:tr>
      <w:tr w:rsidR="00C34D41" w:rsidRPr="00EA2BB7" w14:paraId="1E80AF54" w14:textId="77777777" w:rsidTr="003B6C92">
        <w:tc>
          <w:tcPr>
            <w:tcW w:w="608" w:type="dxa"/>
          </w:tcPr>
          <w:p w14:paraId="61C4B04A" w14:textId="77777777" w:rsidR="00396F96" w:rsidRPr="00EA2BB7" w:rsidRDefault="00396F96" w:rsidP="00396F96">
            <w:pPr>
              <w:pStyle w:val="Text"/>
              <w:ind w:firstLine="0"/>
              <w:jc w:val="left"/>
              <w:rPr>
                <w:sz w:val="16"/>
                <w:szCs w:val="16"/>
              </w:rPr>
            </w:pPr>
            <w:r w:rsidRPr="00EA2BB7">
              <w:rPr>
                <w:sz w:val="16"/>
                <w:szCs w:val="16"/>
              </w:rPr>
              <w:t>4</w:t>
            </w:r>
          </w:p>
        </w:tc>
        <w:tc>
          <w:tcPr>
            <w:tcW w:w="910" w:type="dxa"/>
            <w:vAlign w:val="bottom"/>
          </w:tcPr>
          <w:p w14:paraId="51ABE3B8" w14:textId="682CEB5B" w:rsidR="00396F96" w:rsidRPr="00EA2BB7" w:rsidRDefault="00C87B7B" w:rsidP="00396F96">
            <w:pPr>
              <w:pStyle w:val="Text"/>
              <w:ind w:firstLine="0"/>
              <w:jc w:val="left"/>
              <w:rPr>
                <w:sz w:val="16"/>
                <w:szCs w:val="16"/>
              </w:rPr>
            </w:pPr>
            <w:r w:rsidRPr="00C87B7B">
              <w:rPr>
                <w:rFonts w:ascii="Symbol" w:hAnsi="Symbol"/>
                <w:sz w:val="16"/>
                <w:szCs w:val="16"/>
              </w:rPr>
              <w:t></w:t>
            </w:r>
            <w:r w:rsidR="00396F96" w:rsidRPr="00EA2BB7">
              <w:rPr>
                <w:sz w:val="16"/>
                <w:szCs w:val="16"/>
              </w:rPr>
              <w:t>6.1</w:t>
            </w:r>
          </w:p>
        </w:tc>
        <w:tc>
          <w:tcPr>
            <w:tcW w:w="1029" w:type="dxa"/>
            <w:vAlign w:val="bottom"/>
          </w:tcPr>
          <w:p w14:paraId="4A4BE5B5" w14:textId="77777777" w:rsidR="00396F96" w:rsidRPr="00EA2BB7" w:rsidRDefault="00396F96" w:rsidP="00396F96">
            <w:pPr>
              <w:pStyle w:val="Text"/>
              <w:ind w:firstLine="0"/>
              <w:jc w:val="left"/>
              <w:rPr>
                <w:sz w:val="16"/>
                <w:szCs w:val="16"/>
              </w:rPr>
            </w:pPr>
            <w:r w:rsidRPr="00EA2BB7">
              <w:rPr>
                <w:sz w:val="16"/>
                <w:szCs w:val="16"/>
              </w:rPr>
              <w:t>1.416</w:t>
            </w:r>
          </w:p>
        </w:tc>
        <w:tc>
          <w:tcPr>
            <w:tcW w:w="992" w:type="dxa"/>
            <w:vAlign w:val="bottom"/>
          </w:tcPr>
          <w:p w14:paraId="5CB81EC1" w14:textId="77777777" w:rsidR="00396F96" w:rsidRPr="00EA2BB7" w:rsidRDefault="00396F96" w:rsidP="00396F96">
            <w:pPr>
              <w:pStyle w:val="Text"/>
              <w:ind w:firstLine="0"/>
              <w:jc w:val="left"/>
              <w:rPr>
                <w:sz w:val="16"/>
                <w:szCs w:val="16"/>
              </w:rPr>
            </w:pPr>
            <w:r w:rsidRPr="00EA2BB7">
              <w:rPr>
                <w:sz w:val="16"/>
                <w:szCs w:val="16"/>
              </w:rPr>
              <w:t>6.324</w:t>
            </w:r>
          </w:p>
        </w:tc>
      </w:tr>
      <w:tr w:rsidR="00C34D41" w:rsidRPr="00EA2BB7" w14:paraId="269418B0" w14:textId="77777777" w:rsidTr="003B6C92">
        <w:tc>
          <w:tcPr>
            <w:tcW w:w="608" w:type="dxa"/>
          </w:tcPr>
          <w:p w14:paraId="49D2DB7E" w14:textId="77777777" w:rsidR="00396F96" w:rsidRPr="00EA2BB7" w:rsidRDefault="00396F96" w:rsidP="00396F96">
            <w:pPr>
              <w:pStyle w:val="Text"/>
              <w:ind w:firstLine="0"/>
              <w:jc w:val="left"/>
              <w:rPr>
                <w:sz w:val="16"/>
                <w:szCs w:val="16"/>
              </w:rPr>
            </w:pPr>
            <w:r w:rsidRPr="00EA2BB7">
              <w:rPr>
                <w:sz w:val="16"/>
                <w:szCs w:val="16"/>
              </w:rPr>
              <w:t>5</w:t>
            </w:r>
          </w:p>
        </w:tc>
        <w:tc>
          <w:tcPr>
            <w:tcW w:w="910" w:type="dxa"/>
            <w:vAlign w:val="bottom"/>
          </w:tcPr>
          <w:p w14:paraId="393B5088" w14:textId="3174991E" w:rsidR="00396F96" w:rsidRPr="00EA2BB7" w:rsidRDefault="00C87B7B" w:rsidP="00396F96">
            <w:pPr>
              <w:pStyle w:val="Text"/>
              <w:ind w:firstLine="0"/>
              <w:jc w:val="left"/>
              <w:rPr>
                <w:sz w:val="16"/>
                <w:szCs w:val="16"/>
              </w:rPr>
            </w:pPr>
            <w:r w:rsidRPr="00C87B7B">
              <w:rPr>
                <w:rFonts w:ascii="Symbol" w:hAnsi="Symbol"/>
                <w:sz w:val="16"/>
                <w:szCs w:val="16"/>
              </w:rPr>
              <w:t></w:t>
            </w:r>
            <w:r w:rsidR="00396F96" w:rsidRPr="00EA2BB7">
              <w:rPr>
                <w:sz w:val="16"/>
                <w:szCs w:val="16"/>
              </w:rPr>
              <w:t>5.5</w:t>
            </w:r>
          </w:p>
        </w:tc>
        <w:tc>
          <w:tcPr>
            <w:tcW w:w="1029" w:type="dxa"/>
            <w:vAlign w:val="bottom"/>
          </w:tcPr>
          <w:p w14:paraId="338D507E" w14:textId="77777777" w:rsidR="00396F96" w:rsidRPr="00EA2BB7" w:rsidRDefault="00396F96" w:rsidP="00396F96">
            <w:pPr>
              <w:pStyle w:val="Text"/>
              <w:ind w:firstLine="0"/>
              <w:jc w:val="left"/>
              <w:rPr>
                <w:sz w:val="16"/>
                <w:szCs w:val="16"/>
              </w:rPr>
            </w:pPr>
            <w:r w:rsidRPr="00EA2BB7">
              <w:rPr>
                <w:sz w:val="16"/>
                <w:szCs w:val="16"/>
              </w:rPr>
              <w:t>2.722</w:t>
            </w:r>
          </w:p>
        </w:tc>
        <w:tc>
          <w:tcPr>
            <w:tcW w:w="992" w:type="dxa"/>
            <w:vAlign w:val="bottom"/>
          </w:tcPr>
          <w:p w14:paraId="4F55B881" w14:textId="77777777" w:rsidR="00396F96" w:rsidRPr="00EA2BB7" w:rsidRDefault="00396F96" w:rsidP="00396F96">
            <w:pPr>
              <w:pStyle w:val="Text"/>
              <w:ind w:firstLine="0"/>
              <w:jc w:val="left"/>
              <w:rPr>
                <w:sz w:val="16"/>
                <w:szCs w:val="16"/>
              </w:rPr>
            </w:pPr>
            <w:r w:rsidRPr="00EA2BB7">
              <w:rPr>
                <w:sz w:val="16"/>
                <w:szCs w:val="16"/>
              </w:rPr>
              <w:t>5.349</w:t>
            </w:r>
          </w:p>
        </w:tc>
      </w:tr>
      <w:tr w:rsidR="00C34D41" w:rsidRPr="00EA2BB7" w14:paraId="6B891330" w14:textId="77777777" w:rsidTr="003B6C92">
        <w:tc>
          <w:tcPr>
            <w:tcW w:w="608" w:type="dxa"/>
          </w:tcPr>
          <w:p w14:paraId="1A83DA07" w14:textId="77777777" w:rsidR="00396F96" w:rsidRPr="00EA2BB7" w:rsidRDefault="00396F96" w:rsidP="00396F96">
            <w:pPr>
              <w:pStyle w:val="Text"/>
              <w:ind w:firstLine="0"/>
              <w:jc w:val="left"/>
              <w:rPr>
                <w:sz w:val="16"/>
                <w:szCs w:val="16"/>
              </w:rPr>
            </w:pPr>
            <w:r w:rsidRPr="00EA2BB7">
              <w:rPr>
                <w:sz w:val="16"/>
                <w:szCs w:val="16"/>
              </w:rPr>
              <w:t>6</w:t>
            </w:r>
          </w:p>
        </w:tc>
        <w:tc>
          <w:tcPr>
            <w:tcW w:w="910" w:type="dxa"/>
            <w:vAlign w:val="bottom"/>
          </w:tcPr>
          <w:p w14:paraId="4F4FF9F6" w14:textId="11891A0C" w:rsidR="00396F96" w:rsidRPr="00EA2BB7" w:rsidRDefault="00C87B7B" w:rsidP="00396F96">
            <w:pPr>
              <w:pStyle w:val="Text"/>
              <w:ind w:firstLine="0"/>
              <w:jc w:val="left"/>
              <w:rPr>
                <w:sz w:val="16"/>
                <w:szCs w:val="16"/>
              </w:rPr>
            </w:pPr>
            <w:r w:rsidRPr="00C87B7B">
              <w:rPr>
                <w:rFonts w:ascii="Symbol" w:hAnsi="Symbol"/>
                <w:sz w:val="16"/>
                <w:szCs w:val="16"/>
              </w:rPr>
              <w:t></w:t>
            </w:r>
            <w:r w:rsidR="00396F96" w:rsidRPr="00EA2BB7">
              <w:rPr>
                <w:sz w:val="16"/>
                <w:szCs w:val="16"/>
              </w:rPr>
              <w:t>5.3</w:t>
            </w:r>
          </w:p>
        </w:tc>
        <w:tc>
          <w:tcPr>
            <w:tcW w:w="1029" w:type="dxa"/>
            <w:vAlign w:val="bottom"/>
          </w:tcPr>
          <w:p w14:paraId="4A352DC8" w14:textId="77777777" w:rsidR="00396F96" w:rsidRPr="00EA2BB7" w:rsidRDefault="00396F96" w:rsidP="00396F96">
            <w:pPr>
              <w:pStyle w:val="Text"/>
              <w:ind w:firstLine="0"/>
              <w:jc w:val="left"/>
              <w:rPr>
                <w:sz w:val="16"/>
                <w:szCs w:val="16"/>
              </w:rPr>
            </w:pPr>
            <w:r w:rsidRPr="00EA2BB7">
              <w:rPr>
                <w:sz w:val="16"/>
                <w:szCs w:val="16"/>
              </w:rPr>
              <w:t>3.307</w:t>
            </w:r>
          </w:p>
        </w:tc>
        <w:tc>
          <w:tcPr>
            <w:tcW w:w="992" w:type="dxa"/>
            <w:vAlign w:val="bottom"/>
          </w:tcPr>
          <w:p w14:paraId="752A1C35" w14:textId="77777777" w:rsidR="00396F96" w:rsidRPr="00EA2BB7" w:rsidRDefault="00396F96" w:rsidP="00396F96">
            <w:pPr>
              <w:pStyle w:val="Text"/>
              <w:ind w:firstLine="0"/>
              <w:jc w:val="left"/>
              <w:rPr>
                <w:sz w:val="16"/>
                <w:szCs w:val="16"/>
              </w:rPr>
            </w:pPr>
            <w:r w:rsidRPr="00EA2BB7">
              <w:rPr>
                <w:sz w:val="16"/>
                <w:szCs w:val="16"/>
              </w:rPr>
              <w:t>7.378</w:t>
            </w:r>
          </w:p>
        </w:tc>
      </w:tr>
      <w:tr w:rsidR="00C34D41" w:rsidRPr="00EA2BB7" w14:paraId="29485728" w14:textId="77777777" w:rsidTr="003B6C92">
        <w:tc>
          <w:tcPr>
            <w:tcW w:w="608" w:type="dxa"/>
          </w:tcPr>
          <w:p w14:paraId="04B2150C" w14:textId="77777777" w:rsidR="00396F96" w:rsidRPr="00EA2BB7" w:rsidRDefault="00396F96" w:rsidP="00396F96">
            <w:pPr>
              <w:pStyle w:val="Text"/>
              <w:ind w:firstLine="0"/>
              <w:jc w:val="left"/>
              <w:rPr>
                <w:sz w:val="16"/>
                <w:szCs w:val="16"/>
              </w:rPr>
            </w:pPr>
            <w:r w:rsidRPr="00EA2BB7">
              <w:rPr>
                <w:sz w:val="16"/>
                <w:szCs w:val="16"/>
              </w:rPr>
              <w:t>7</w:t>
            </w:r>
          </w:p>
        </w:tc>
        <w:tc>
          <w:tcPr>
            <w:tcW w:w="910" w:type="dxa"/>
            <w:vAlign w:val="bottom"/>
          </w:tcPr>
          <w:p w14:paraId="3EDE2388" w14:textId="7830FB46" w:rsidR="00396F96" w:rsidRPr="00EA2BB7" w:rsidRDefault="00C87B7B" w:rsidP="00396F96">
            <w:pPr>
              <w:pStyle w:val="Text"/>
              <w:ind w:firstLine="0"/>
              <w:jc w:val="left"/>
              <w:rPr>
                <w:sz w:val="16"/>
                <w:szCs w:val="16"/>
              </w:rPr>
            </w:pPr>
            <w:r w:rsidRPr="00C87B7B">
              <w:rPr>
                <w:rFonts w:ascii="Symbol" w:hAnsi="Symbol"/>
                <w:sz w:val="16"/>
                <w:szCs w:val="16"/>
              </w:rPr>
              <w:t></w:t>
            </w:r>
            <w:r w:rsidR="00396F96" w:rsidRPr="00EA2BB7">
              <w:rPr>
                <w:sz w:val="16"/>
                <w:szCs w:val="16"/>
              </w:rPr>
              <w:t>5.2</w:t>
            </w:r>
          </w:p>
        </w:tc>
        <w:tc>
          <w:tcPr>
            <w:tcW w:w="1029" w:type="dxa"/>
            <w:vAlign w:val="bottom"/>
          </w:tcPr>
          <w:p w14:paraId="6B05FEC2" w14:textId="77777777" w:rsidR="00396F96" w:rsidRPr="00EA2BB7" w:rsidRDefault="00396F96" w:rsidP="00396F96">
            <w:pPr>
              <w:pStyle w:val="Text"/>
              <w:ind w:firstLine="0"/>
              <w:jc w:val="left"/>
              <w:rPr>
                <w:sz w:val="16"/>
                <w:szCs w:val="16"/>
              </w:rPr>
            </w:pPr>
            <w:r w:rsidRPr="00EA2BB7">
              <w:rPr>
                <w:sz w:val="16"/>
                <w:szCs w:val="16"/>
              </w:rPr>
              <w:t>4.006</w:t>
            </w:r>
          </w:p>
        </w:tc>
        <w:tc>
          <w:tcPr>
            <w:tcW w:w="992" w:type="dxa"/>
            <w:vAlign w:val="bottom"/>
          </w:tcPr>
          <w:p w14:paraId="600B36F6" w14:textId="77777777" w:rsidR="00396F96" w:rsidRPr="00EA2BB7" w:rsidRDefault="00396F96" w:rsidP="00396F96">
            <w:pPr>
              <w:pStyle w:val="Text"/>
              <w:ind w:firstLine="0"/>
              <w:jc w:val="left"/>
              <w:rPr>
                <w:sz w:val="16"/>
                <w:szCs w:val="16"/>
              </w:rPr>
            </w:pPr>
            <w:r w:rsidRPr="00EA2BB7">
              <w:rPr>
                <w:sz w:val="16"/>
                <w:szCs w:val="16"/>
              </w:rPr>
              <w:t>5.643</w:t>
            </w:r>
          </w:p>
        </w:tc>
      </w:tr>
      <w:tr w:rsidR="00C34D41" w:rsidRPr="00EA2BB7" w14:paraId="6D544E61" w14:textId="77777777" w:rsidTr="003B6C92">
        <w:tc>
          <w:tcPr>
            <w:tcW w:w="608" w:type="dxa"/>
          </w:tcPr>
          <w:p w14:paraId="57446090" w14:textId="77777777" w:rsidR="00396F96" w:rsidRPr="00EA2BB7" w:rsidRDefault="00396F96" w:rsidP="00396F96">
            <w:pPr>
              <w:pStyle w:val="Text"/>
              <w:ind w:firstLine="0"/>
              <w:jc w:val="left"/>
              <w:rPr>
                <w:sz w:val="16"/>
                <w:szCs w:val="16"/>
              </w:rPr>
            </w:pPr>
            <w:r w:rsidRPr="00EA2BB7">
              <w:rPr>
                <w:sz w:val="16"/>
                <w:szCs w:val="16"/>
              </w:rPr>
              <w:t>8</w:t>
            </w:r>
          </w:p>
        </w:tc>
        <w:tc>
          <w:tcPr>
            <w:tcW w:w="910" w:type="dxa"/>
            <w:vAlign w:val="bottom"/>
          </w:tcPr>
          <w:p w14:paraId="753955A4" w14:textId="3C10D3D3" w:rsidR="00396F96" w:rsidRPr="00EA2BB7" w:rsidRDefault="00C87B7B" w:rsidP="00396F96">
            <w:pPr>
              <w:pStyle w:val="Text"/>
              <w:ind w:firstLine="0"/>
              <w:jc w:val="left"/>
              <w:rPr>
                <w:sz w:val="16"/>
                <w:szCs w:val="16"/>
              </w:rPr>
            </w:pPr>
            <w:r w:rsidRPr="00C87B7B">
              <w:rPr>
                <w:rFonts w:ascii="Symbol" w:hAnsi="Symbol"/>
                <w:sz w:val="16"/>
                <w:szCs w:val="16"/>
              </w:rPr>
              <w:t></w:t>
            </w:r>
            <w:r w:rsidR="00396F96" w:rsidRPr="00EA2BB7">
              <w:rPr>
                <w:sz w:val="16"/>
                <w:szCs w:val="16"/>
              </w:rPr>
              <w:t>5.2</w:t>
            </w:r>
          </w:p>
        </w:tc>
        <w:tc>
          <w:tcPr>
            <w:tcW w:w="1029" w:type="dxa"/>
            <w:vAlign w:val="bottom"/>
          </w:tcPr>
          <w:p w14:paraId="339772E9" w14:textId="77777777" w:rsidR="00396F96" w:rsidRPr="00EA2BB7" w:rsidRDefault="00396F96" w:rsidP="00396F96">
            <w:pPr>
              <w:pStyle w:val="Text"/>
              <w:ind w:firstLine="0"/>
              <w:jc w:val="left"/>
              <w:rPr>
                <w:sz w:val="16"/>
                <w:szCs w:val="16"/>
              </w:rPr>
            </w:pPr>
            <w:r w:rsidRPr="00EA2BB7">
              <w:rPr>
                <w:sz w:val="16"/>
                <w:szCs w:val="16"/>
              </w:rPr>
              <w:t>4.778</w:t>
            </w:r>
          </w:p>
        </w:tc>
        <w:tc>
          <w:tcPr>
            <w:tcW w:w="992" w:type="dxa"/>
            <w:vAlign w:val="bottom"/>
          </w:tcPr>
          <w:p w14:paraId="542011B6" w14:textId="77777777" w:rsidR="00396F96" w:rsidRPr="00EA2BB7" w:rsidRDefault="00396F96" w:rsidP="00396F96">
            <w:pPr>
              <w:pStyle w:val="Text"/>
              <w:ind w:firstLine="0"/>
              <w:jc w:val="left"/>
              <w:rPr>
                <w:sz w:val="16"/>
                <w:szCs w:val="16"/>
              </w:rPr>
            </w:pPr>
            <w:r w:rsidRPr="00EA2BB7">
              <w:rPr>
                <w:sz w:val="16"/>
                <w:szCs w:val="16"/>
              </w:rPr>
              <w:t>8.978</w:t>
            </w:r>
          </w:p>
        </w:tc>
      </w:tr>
      <w:tr w:rsidR="00C34D41" w:rsidRPr="00EA2BB7" w14:paraId="63546752" w14:textId="77777777" w:rsidTr="003B6C92">
        <w:tc>
          <w:tcPr>
            <w:tcW w:w="608" w:type="dxa"/>
          </w:tcPr>
          <w:p w14:paraId="564FC238" w14:textId="77777777" w:rsidR="00396F96" w:rsidRPr="00EA2BB7" w:rsidRDefault="00396F96" w:rsidP="00396F96">
            <w:pPr>
              <w:pStyle w:val="Text"/>
              <w:ind w:firstLine="0"/>
              <w:jc w:val="left"/>
              <w:rPr>
                <w:sz w:val="16"/>
                <w:szCs w:val="16"/>
              </w:rPr>
            </w:pPr>
            <w:r w:rsidRPr="00EA2BB7">
              <w:rPr>
                <w:sz w:val="16"/>
                <w:szCs w:val="16"/>
              </w:rPr>
              <w:t>9</w:t>
            </w:r>
          </w:p>
        </w:tc>
        <w:tc>
          <w:tcPr>
            <w:tcW w:w="910" w:type="dxa"/>
            <w:vAlign w:val="bottom"/>
          </w:tcPr>
          <w:p w14:paraId="4CDAB63C" w14:textId="135975E0" w:rsidR="00396F96" w:rsidRPr="00EA2BB7" w:rsidRDefault="00C87B7B" w:rsidP="00396F96">
            <w:pPr>
              <w:pStyle w:val="Text"/>
              <w:ind w:firstLine="0"/>
              <w:jc w:val="left"/>
              <w:rPr>
                <w:sz w:val="16"/>
                <w:szCs w:val="16"/>
              </w:rPr>
            </w:pPr>
            <w:r w:rsidRPr="00C87B7B">
              <w:rPr>
                <w:rFonts w:ascii="Symbol" w:hAnsi="Symbol"/>
                <w:sz w:val="16"/>
                <w:szCs w:val="16"/>
              </w:rPr>
              <w:t></w:t>
            </w:r>
            <w:r w:rsidR="00396F96" w:rsidRPr="00EA2BB7">
              <w:rPr>
                <w:sz w:val="16"/>
                <w:szCs w:val="16"/>
              </w:rPr>
              <w:t>5.1</w:t>
            </w:r>
          </w:p>
        </w:tc>
        <w:tc>
          <w:tcPr>
            <w:tcW w:w="1029" w:type="dxa"/>
            <w:vAlign w:val="bottom"/>
          </w:tcPr>
          <w:p w14:paraId="7D8DF81B" w14:textId="77777777" w:rsidR="00396F96" w:rsidRPr="00EA2BB7" w:rsidRDefault="00396F96" w:rsidP="00396F96">
            <w:pPr>
              <w:pStyle w:val="Text"/>
              <w:ind w:firstLine="0"/>
              <w:jc w:val="left"/>
              <w:rPr>
                <w:sz w:val="16"/>
                <w:szCs w:val="16"/>
              </w:rPr>
            </w:pPr>
            <w:r w:rsidRPr="00EA2BB7">
              <w:rPr>
                <w:sz w:val="16"/>
                <w:szCs w:val="16"/>
              </w:rPr>
              <w:t>72.033</w:t>
            </w:r>
          </w:p>
        </w:tc>
        <w:tc>
          <w:tcPr>
            <w:tcW w:w="992" w:type="dxa"/>
            <w:vAlign w:val="bottom"/>
          </w:tcPr>
          <w:p w14:paraId="4A741B9E" w14:textId="77777777" w:rsidR="00396F96" w:rsidRPr="00EA2BB7" w:rsidRDefault="00396F96" w:rsidP="00396F96">
            <w:pPr>
              <w:pStyle w:val="Text"/>
              <w:ind w:firstLine="0"/>
              <w:jc w:val="left"/>
              <w:rPr>
                <w:sz w:val="16"/>
                <w:szCs w:val="16"/>
              </w:rPr>
            </w:pPr>
            <w:r w:rsidRPr="00EA2BB7">
              <w:rPr>
                <w:sz w:val="16"/>
                <w:szCs w:val="16"/>
              </w:rPr>
              <w:t>75.526</w:t>
            </w:r>
          </w:p>
        </w:tc>
      </w:tr>
    </w:tbl>
    <w:p w14:paraId="72889231" w14:textId="77777777" w:rsidR="00EE3F16" w:rsidRPr="00EA2BB7" w:rsidRDefault="00EE3F16" w:rsidP="00DD36D4">
      <w:pPr>
        <w:jc w:val="center"/>
      </w:pPr>
    </w:p>
    <w:p w14:paraId="32E34A1A" w14:textId="08AAB887" w:rsidR="000B4890" w:rsidRPr="00EA2BB7" w:rsidRDefault="000B4890" w:rsidP="004E7C40">
      <w:pPr>
        <w:pStyle w:val="Subchapter"/>
        <w:tabs>
          <w:tab w:val="left" w:pos="387"/>
          <w:tab w:val="left" w:pos="1387"/>
        </w:tabs>
        <w:jc w:val="both"/>
      </w:pPr>
    </w:p>
    <w:p w14:paraId="4E3CFDF1" w14:textId="11D38D54" w:rsidR="00E86DA3" w:rsidRPr="00EA2BB7" w:rsidRDefault="00E86DA3" w:rsidP="00E86DA3">
      <w:pPr>
        <w:pStyle w:val="Text"/>
      </w:pPr>
    </w:p>
    <w:p w14:paraId="752CD0EB" w14:textId="304B729C" w:rsidR="004E7C40" w:rsidRPr="00EA2BB7" w:rsidRDefault="004E7C40" w:rsidP="004E7C40">
      <w:pPr>
        <w:pStyle w:val="Text"/>
      </w:pPr>
    </w:p>
    <w:p w14:paraId="675FA8D4" w14:textId="4BF9932C" w:rsidR="004E7C40" w:rsidRPr="00EA2BB7" w:rsidRDefault="004E7C40" w:rsidP="004E7C40">
      <w:pPr>
        <w:pStyle w:val="Text"/>
      </w:pPr>
    </w:p>
    <w:p w14:paraId="0EA7DB68" w14:textId="787258DF" w:rsidR="006F4EFC" w:rsidRPr="00EA2BB7" w:rsidRDefault="006F4EFC" w:rsidP="006F4EFC">
      <w:pPr>
        <w:pStyle w:val="Text"/>
        <w:ind w:firstLine="0"/>
      </w:pPr>
    </w:p>
    <w:p w14:paraId="06B7B097" w14:textId="77F545D8" w:rsidR="006F4EFC" w:rsidRPr="00EA2BB7" w:rsidRDefault="006F4EFC" w:rsidP="006F4EFC">
      <w:pPr>
        <w:pStyle w:val="Text"/>
        <w:ind w:firstLine="0"/>
        <w:rPr>
          <w:sz w:val="18"/>
          <w:szCs w:val="18"/>
        </w:rPr>
      </w:pPr>
    </w:p>
    <w:p w14:paraId="26CBD9A6" w14:textId="1A2D23BF" w:rsidR="006F4EFC" w:rsidRPr="00EA2BB7" w:rsidRDefault="006F4EFC" w:rsidP="004C4792">
      <w:pPr>
        <w:pStyle w:val="Figures"/>
        <w:jc w:val="left"/>
      </w:pPr>
      <w:r w:rsidRPr="00EA2BB7">
        <w:t xml:space="preserve">Fig. 2. Representation of </w:t>
      </w:r>
      <w:proofErr w:type="spellStart"/>
      <w:r w:rsidRPr="00EA2BB7">
        <w:t>kermesic</w:t>
      </w:r>
      <w:proofErr w:type="spellEnd"/>
      <w:r w:rsidRPr="00EA2BB7">
        <w:t xml:space="preserve"> acid</w:t>
      </w:r>
      <w:r w:rsidR="004C4792" w:rsidRPr="00EA2BB7">
        <w:t xml:space="preserve">        </w:t>
      </w:r>
      <w:r w:rsidRPr="00EA2BB7">
        <w:t>interaction with alpha synuclein</w:t>
      </w:r>
      <w:r w:rsidR="00467722" w:rsidRPr="00EA2BB7">
        <w:t>.</w:t>
      </w:r>
    </w:p>
    <w:p w14:paraId="7EC4C585" w14:textId="50C118C6" w:rsidR="00396F96" w:rsidRPr="00EA2BB7" w:rsidRDefault="00306F31" w:rsidP="00396F96">
      <w:pPr>
        <w:pStyle w:val="Tableno"/>
      </w:pPr>
      <w:r>
        <w:rPr>
          <w:noProof/>
        </w:rPr>
        <w:drawing>
          <wp:anchor distT="0" distB="0" distL="114300" distR="114300" simplePos="0" relativeHeight="251670016" behindDoc="0" locked="0" layoutInCell="1" allowOverlap="1" wp14:anchorId="2827FB03" wp14:editId="432C1473">
            <wp:simplePos x="0" y="0"/>
            <wp:positionH relativeFrom="column">
              <wp:posOffset>5848</wp:posOffset>
            </wp:positionH>
            <wp:positionV relativeFrom="paragraph">
              <wp:posOffset>11991</wp:posOffset>
            </wp:positionV>
            <wp:extent cx="1777764" cy="1884089"/>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plot_laccaic_interaction.png"/>
                    <pic:cNvPicPr/>
                  </pic:nvPicPr>
                  <pic:blipFill>
                    <a:blip r:embed="rId14" cstate="print">
                      <a:grayscl/>
                      <a:extLst>
                        <a:ext uri="{28A0092B-C50C-407E-A947-70E740481C1C}">
                          <a14:useLocalDpi xmlns:a14="http://schemas.microsoft.com/office/drawing/2010/main" val="0"/>
                        </a:ext>
                      </a:extLst>
                    </a:blip>
                    <a:stretch>
                      <a:fillRect/>
                    </a:stretch>
                  </pic:blipFill>
                  <pic:spPr>
                    <a:xfrm>
                      <a:off x="0" y="0"/>
                      <a:ext cx="1778921" cy="1885315"/>
                    </a:xfrm>
                    <a:prstGeom prst="rect">
                      <a:avLst/>
                    </a:prstGeom>
                  </pic:spPr>
                </pic:pic>
              </a:graphicData>
            </a:graphic>
            <wp14:sizeRelH relativeFrom="margin">
              <wp14:pctWidth>0</wp14:pctWidth>
            </wp14:sizeRelH>
            <wp14:sizeRelV relativeFrom="margin">
              <wp14:pctHeight>0</wp14:pctHeight>
            </wp14:sizeRelV>
          </wp:anchor>
        </w:drawing>
      </w:r>
      <w:r w:rsidR="006F4EFC" w:rsidRPr="00EA2BB7">
        <w:tab/>
      </w:r>
      <w:r w:rsidR="00396F96" w:rsidRPr="00EA2BB7">
        <w:tab/>
      </w:r>
      <w:r w:rsidR="00396F96" w:rsidRPr="00EA2BB7">
        <w:tab/>
      </w:r>
      <w:r w:rsidR="00396F96" w:rsidRPr="00EA2BB7">
        <w:tab/>
      </w:r>
      <w:r w:rsidR="00396F96" w:rsidRPr="00EA2BB7">
        <w:tab/>
        <w:t xml:space="preserve">Table 4 </w:t>
      </w:r>
    </w:p>
    <w:p w14:paraId="5DDA8669" w14:textId="325B761A" w:rsidR="00396F96" w:rsidRPr="00EA2BB7" w:rsidRDefault="00396F96" w:rsidP="00396F96">
      <w:pPr>
        <w:pStyle w:val="Tabletitle"/>
      </w:pPr>
      <w:r w:rsidRPr="00EA2BB7">
        <w:t xml:space="preserve">                                                                           </w:t>
      </w:r>
      <w:proofErr w:type="spellStart"/>
      <w:r w:rsidRPr="00EA2BB7">
        <w:t>Laccaic</w:t>
      </w:r>
      <w:proofErr w:type="spellEnd"/>
      <w:r w:rsidRPr="00EA2BB7">
        <w:t xml:space="preserve"> acid binding affinities</w:t>
      </w:r>
    </w:p>
    <w:tbl>
      <w:tblPr>
        <w:tblStyle w:val="TableGrid"/>
        <w:tblpPr w:leftFromText="180" w:rightFromText="180" w:vertAnchor="text" w:horzAnchor="margin" w:tblpXSpec="right" w:tblpY="223"/>
        <w:tblW w:w="0" w:type="auto"/>
        <w:tblLook w:val="04A0" w:firstRow="1" w:lastRow="0" w:firstColumn="1" w:lastColumn="0" w:noHBand="0" w:noVBand="1"/>
      </w:tblPr>
      <w:tblGrid>
        <w:gridCol w:w="608"/>
        <w:gridCol w:w="910"/>
        <w:gridCol w:w="1029"/>
        <w:gridCol w:w="992"/>
      </w:tblGrid>
      <w:tr w:rsidR="00C34D41" w:rsidRPr="00EA2BB7" w14:paraId="2BF8DA22" w14:textId="77777777" w:rsidTr="00C714FA">
        <w:tc>
          <w:tcPr>
            <w:tcW w:w="608" w:type="dxa"/>
            <w:vMerge w:val="restart"/>
            <w:shd w:val="clear" w:color="auto" w:fill="F2F2F2" w:themeFill="background1" w:themeFillShade="F2"/>
          </w:tcPr>
          <w:p w14:paraId="4C5B42C4" w14:textId="77777777" w:rsidR="006945E7" w:rsidRPr="00EA2BB7" w:rsidRDefault="006945E7" w:rsidP="006945E7">
            <w:pPr>
              <w:pStyle w:val="Text"/>
              <w:ind w:firstLine="0"/>
              <w:jc w:val="center"/>
              <w:rPr>
                <w:b/>
                <w:bCs/>
                <w:sz w:val="16"/>
                <w:szCs w:val="16"/>
              </w:rPr>
            </w:pPr>
            <w:r w:rsidRPr="00EA2BB7">
              <w:rPr>
                <w:b/>
                <w:bCs/>
                <w:sz w:val="16"/>
                <w:szCs w:val="16"/>
              </w:rPr>
              <w:t>Mode</w:t>
            </w:r>
          </w:p>
        </w:tc>
        <w:tc>
          <w:tcPr>
            <w:tcW w:w="910" w:type="dxa"/>
            <w:vMerge w:val="restart"/>
            <w:shd w:val="clear" w:color="auto" w:fill="F2F2F2" w:themeFill="background1" w:themeFillShade="F2"/>
          </w:tcPr>
          <w:p w14:paraId="641D3BA8" w14:textId="77777777" w:rsidR="006945E7" w:rsidRPr="00C061C1" w:rsidRDefault="006945E7" w:rsidP="006945E7">
            <w:pPr>
              <w:pStyle w:val="Text"/>
              <w:ind w:firstLine="0"/>
              <w:jc w:val="center"/>
              <w:rPr>
                <w:b/>
                <w:bCs/>
                <w:sz w:val="16"/>
                <w:szCs w:val="16"/>
              </w:rPr>
            </w:pPr>
            <w:r w:rsidRPr="00C061C1">
              <w:rPr>
                <w:b/>
                <w:bCs/>
                <w:sz w:val="16"/>
                <w:szCs w:val="16"/>
              </w:rPr>
              <w:t>Affinity</w:t>
            </w:r>
          </w:p>
          <w:p w14:paraId="50868FCB" w14:textId="78D6B406" w:rsidR="006945E7" w:rsidRPr="00C061C1" w:rsidRDefault="006945E7" w:rsidP="006945E7">
            <w:pPr>
              <w:pStyle w:val="Text"/>
              <w:ind w:firstLine="0"/>
              <w:jc w:val="center"/>
              <w:rPr>
                <w:b/>
                <w:bCs/>
                <w:sz w:val="16"/>
                <w:szCs w:val="16"/>
              </w:rPr>
            </w:pPr>
            <w:r w:rsidRPr="00C061C1">
              <w:rPr>
                <w:b/>
                <w:bCs/>
                <w:sz w:val="16"/>
                <w:szCs w:val="16"/>
              </w:rPr>
              <w:t>(</w:t>
            </w:r>
            <w:r w:rsidR="00467722" w:rsidRPr="00C061C1">
              <w:rPr>
                <w:b/>
                <w:bCs/>
                <w:sz w:val="16"/>
                <w:szCs w:val="16"/>
              </w:rPr>
              <w:t>k</w:t>
            </w:r>
            <w:r w:rsidRPr="00C061C1">
              <w:rPr>
                <w:b/>
                <w:bCs/>
                <w:sz w:val="16"/>
                <w:szCs w:val="16"/>
              </w:rPr>
              <w:t>cal/mol)</w:t>
            </w:r>
          </w:p>
        </w:tc>
        <w:tc>
          <w:tcPr>
            <w:tcW w:w="2021" w:type="dxa"/>
            <w:gridSpan w:val="2"/>
            <w:shd w:val="clear" w:color="auto" w:fill="F2F2F2" w:themeFill="background1" w:themeFillShade="F2"/>
          </w:tcPr>
          <w:p w14:paraId="554750F0" w14:textId="77777777" w:rsidR="006945E7" w:rsidRPr="00EA2BB7" w:rsidRDefault="006945E7" w:rsidP="006945E7">
            <w:pPr>
              <w:pStyle w:val="Text"/>
              <w:ind w:firstLine="0"/>
              <w:jc w:val="center"/>
              <w:rPr>
                <w:b/>
                <w:bCs/>
                <w:sz w:val="16"/>
                <w:szCs w:val="16"/>
              </w:rPr>
            </w:pPr>
            <w:r w:rsidRPr="00EA2BB7">
              <w:rPr>
                <w:b/>
                <w:bCs/>
                <w:sz w:val="16"/>
                <w:szCs w:val="16"/>
              </w:rPr>
              <w:t>Distance from best mode</w:t>
            </w:r>
          </w:p>
        </w:tc>
      </w:tr>
      <w:tr w:rsidR="00C34D41" w:rsidRPr="00EA2BB7" w14:paraId="0D076F7B" w14:textId="77777777" w:rsidTr="00C714FA">
        <w:tc>
          <w:tcPr>
            <w:tcW w:w="608" w:type="dxa"/>
            <w:vMerge/>
            <w:shd w:val="clear" w:color="auto" w:fill="F2F2F2" w:themeFill="background1" w:themeFillShade="F2"/>
          </w:tcPr>
          <w:p w14:paraId="04D5271E" w14:textId="77777777" w:rsidR="006945E7" w:rsidRPr="00EA2BB7" w:rsidRDefault="006945E7" w:rsidP="006945E7">
            <w:pPr>
              <w:pStyle w:val="Text"/>
              <w:ind w:firstLine="0"/>
              <w:jc w:val="center"/>
              <w:rPr>
                <w:b/>
                <w:bCs/>
                <w:sz w:val="16"/>
                <w:szCs w:val="16"/>
              </w:rPr>
            </w:pPr>
          </w:p>
        </w:tc>
        <w:tc>
          <w:tcPr>
            <w:tcW w:w="910" w:type="dxa"/>
            <w:vMerge/>
            <w:shd w:val="clear" w:color="auto" w:fill="F2F2F2" w:themeFill="background1" w:themeFillShade="F2"/>
          </w:tcPr>
          <w:p w14:paraId="004A586F" w14:textId="77777777" w:rsidR="006945E7" w:rsidRPr="00EA2BB7" w:rsidRDefault="006945E7" w:rsidP="006945E7">
            <w:pPr>
              <w:pStyle w:val="Text"/>
              <w:ind w:firstLine="0"/>
              <w:jc w:val="center"/>
              <w:rPr>
                <w:b/>
                <w:bCs/>
                <w:sz w:val="16"/>
                <w:szCs w:val="16"/>
              </w:rPr>
            </w:pPr>
          </w:p>
        </w:tc>
        <w:tc>
          <w:tcPr>
            <w:tcW w:w="1029" w:type="dxa"/>
            <w:shd w:val="clear" w:color="auto" w:fill="F2F2F2" w:themeFill="background1" w:themeFillShade="F2"/>
          </w:tcPr>
          <w:p w14:paraId="3F2F4615" w14:textId="77777777" w:rsidR="006945E7" w:rsidRPr="00EA2BB7" w:rsidRDefault="006945E7" w:rsidP="006945E7">
            <w:pPr>
              <w:pStyle w:val="Text"/>
              <w:ind w:firstLine="0"/>
              <w:jc w:val="center"/>
              <w:rPr>
                <w:b/>
                <w:bCs/>
                <w:sz w:val="16"/>
                <w:szCs w:val="16"/>
              </w:rPr>
            </w:pPr>
            <w:r w:rsidRPr="00EA2BB7">
              <w:rPr>
                <w:b/>
                <w:bCs/>
                <w:sz w:val="16"/>
                <w:szCs w:val="16"/>
              </w:rPr>
              <w:t xml:space="preserve">RMSD </w:t>
            </w:r>
            <w:proofErr w:type="spellStart"/>
            <w:r w:rsidRPr="00EA2BB7">
              <w:rPr>
                <w:b/>
                <w:bCs/>
                <w:sz w:val="16"/>
                <w:szCs w:val="16"/>
              </w:rPr>
              <w:t>l.b</w:t>
            </w:r>
            <w:proofErr w:type="spellEnd"/>
            <w:r w:rsidRPr="00EA2BB7">
              <w:rPr>
                <w:b/>
                <w:bCs/>
                <w:sz w:val="16"/>
                <w:szCs w:val="16"/>
              </w:rPr>
              <w:t>.</w:t>
            </w:r>
          </w:p>
        </w:tc>
        <w:tc>
          <w:tcPr>
            <w:tcW w:w="992" w:type="dxa"/>
            <w:shd w:val="clear" w:color="auto" w:fill="F2F2F2" w:themeFill="background1" w:themeFillShade="F2"/>
          </w:tcPr>
          <w:p w14:paraId="13A07078" w14:textId="77777777" w:rsidR="006945E7" w:rsidRPr="00EA2BB7" w:rsidRDefault="006945E7" w:rsidP="006945E7">
            <w:pPr>
              <w:pStyle w:val="Text"/>
              <w:ind w:firstLine="0"/>
              <w:jc w:val="center"/>
              <w:rPr>
                <w:b/>
                <w:bCs/>
                <w:sz w:val="16"/>
                <w:szCs w:val="16"/>
              </w:rPr>
            </w:pPr>
            <w:r w:rsidRPr="00EA2BB7">
              <w:rPr>
                <w:b/>
                <w:bCs/>
                <w:sz w:val="16"/>
                <w:szCs w:val="16"/>
              </w:rPr>
              <w:t xml:space="preserve">RMSD </w:t>
            </w:r>
            <w:proofErr w:type="spellStart"/>
            <w:r w:rsidRPr="00EA2BB7">
              <w:rPr>
                <w:b/>
                <w:bCs/>
                <w:sz w:val="16"/>
                <w:szCs w:val="16"/>
              </w:rPr>
              <w:t>u.b</w:t>
            </w:r>
            <w:proofErr w:type="spellEnd"/>
            <w:r w:rsidRPr="00EA2BB7">
              <w:rPr>
                <w:b/>
                <w:bCs/>
                <w:sz w:val="16"/>
                <w:szCs w:val="16"/>
              </w:rPr>
              <w:t>.</w:t>
            </w:r>
          </w:p>
        </w:tc>
      </w:tr>
      <w:tr w:rsidR="00C34D41" w:rsidRPr="00EA2BB7" w14:paraId="76B76D2D" w14:textId="77777777" w:rsidTr="00C714FA">
        <w:tc>
          <w:tcPr>
            <w:tcW w:w="608" w:type="dxa"/>
          </w:tcPr>
          <w:p w14:paraId="714C8AE3" w14:textId="77777777" w:rsidR="006945E7" w:rsidRPr="00EA2BB7" w:rsidRDefault="006945E7" w:rsidP="006945E7">
            <w:pPr>
              <w:pStyle w:val="Text"/>
              <w:ind w:firstLine="0"/>
              <w:jc w:val="left"/>
              <w:rPr>
                <w:sz w:val="16"/>
                <w:szCs w:val="16"/>
              </w:rPr>
            </w:pPr>
            <w:r w:rsidRPr="00EA2BB7">
              <w:rPr>
                <w:sz w:val="16"/>
                <w:szCs w:val="16"/>
              </w:rPr>
              <w:t>1</w:t>
            </w:r>
          </w:p>
        </w:tc>
        <w:tc>
          <w:tcPr>
            <w:tcW w:w="910" w:type="dxa"/>
            <w:vAlign w:val="bottom"/>
          </w:tcPr>
          <w:p w14:paraId="20791210" w14:textId="613C07A8" w:rsidR="006945E7" w:rsidRPr="00EA2BB7" w:rsidRDefault="00C87B7B" w:rsidP="006945E7">
            <w:pPr>
              <w:pStyle w:val="Text"/>
              <w:ind w:firstLine="0"/>
              <w:jc w:val="left"/>
              <w:rPr>
                <w:sz w:val="16"/>
                <w:szCs w:val="16"/>
              </w:rPr>
            </w:pPr>
            <w:r w:rsidRPr="00C87B7B">
              <w:rPr>
                <w:rFonts w:ascii="Symbol" w:hAnsi="Symbol"/>
                <w:sz w:val="16"/>
                <w:szCs w:val="16"/>
              </w:rPr>
              <w:t></w:t>
            </w:r>
            <w:r w:rsidR="006945E7" w:rsidRPr="00EA2BB7">
              <w:rPr>
                <w:sz w:val="16"/>
                <w:szCs w:val="16"/>
              </w:rPr>
              <w:t>6.5</w:t>
            </w:r>
          </w:p>
        </w:tc>
        <w:tc>
          <w:tcPr>
            <w:tcW w:w="1029" w:type="dxa"/>
            <w:vAlign w:val="bottom"/>
          </w:tcPr>
          <w:p w14:paraId="5FB6C35B" w14:textId="77777777" w:rsidR="006945E7" w:rsidRPr="00EA2BB7" w:rsidRDefault="006945E7" w:rsidP="006945E7">
            <w:pPr>
              <w:pStyle w:val="Text"/>
              <w:ind w:firstLine="0"/>
              <w:jc w:val="left"/>
              <w:rPr>
                <w:sz w:val="16"/>
                <w:szCs w:val="16"/>
              </w:rPr>
            </w:pPr>
            <w:r w:rsidRPr="00EA2BB7">
              <w:rPr>
                <w:sz w:val="16"/>
                <w:szCs w:val="16"/>
              </w:rPr>
              <w:t>0</w:t>
            </w:r>
          </w:p>
        </w:tc>
        <w:tc>
          <w:tcPr>
            <w:tcW w:w="992" w:type="dxa"/>
            <w:vAlign w:val="bottom"/>
          </w:tcPr>
          <w:p w14:paraId="01716835" w14:textId="77777777" w:rsidR="006945E7" w:rsidRPr="00EA2BB7" w:rsidRDefault="006945E7" w:rsidP="006945E7">
            <w:pPr>
              <w:pStyle w:val="Text"/>
              <w:ind w:firstLine="0"/>
              <w:jc w:val="left"/>
              <w:rPr>
                <w:sz w:val="16"/>
                <w:szCs w:val="16"/>
              </w:rPr>
            </w:pPr>
            <w:r w:rsidRPr="00EA2BB7">
              <w:rPr>
                <w:sz w:val="16"/>
                <w:szCs w:val="16"/>
              </w:rPr>
              <w:t>0</w:t>
            </w:r>
          </w:p>
        </w:tc>
      </w:tr>
      <w:tr w:rsidR="00C34D41" w:rsidRPr="00EA2BB7" w14:paraId="77B32CAE" w14:textId="77777777" w:rsidTr="00C714FA">
        <w:tc>
          <w:tcPr>
            <w:tcW w:w="608" w:type="dxa"/>
          </w:tcPr>
          <w:p w14:paraId="75E452D4" w14:textId="77777777" w:rsidR="006945E7" w:rsidRPr="00EA2BB7" w:rsidRDefault="006945E7" w:rsidP="006945E7">
            <w:pPr>
              <w:pStyle w:val="Text"/>
              <w:ind w:firstLine="0"/>
              <w:jc w:val="left"/>
              <w:rPr>
                <w:sz w:val="16"/>
                <w:szCs w:val="16"/>
              </w:rPr>
            </w:pPr>
            <w:r w:rsidRPr="00EA2BB7">
              <w:rPr>
                <w:sz w:val="16"/>
                <w:szCs w:val="16"/>
              </w:rPr>
              <w:t>2</w:t>
            </w:r>
          </w:p>
        </w:tc>
        <w:tc>
          <w:tcPr>
            <w:tcW w:w="910" w:type="dxa"/>
            <w:vAlign w:val="bottom"/>
          </w:tcPr>
          <w:p w14:paraId="534A8195" w14:textId="03F77298" w:rsidR="006945E7" w:rsidRPr="00EA2BB7" w:rsidRDefault="00C87B7B" w:rsidP="006945E7">
            <w:pPr>
              <w:pStyle w:val="Text"/>
              <w:ind w:firstLine="0"/>
              <w:jc w:val="left"/>
              <w:rPr>
                <w:sz w:val="16"/>
                <w:szCs w:val="16"/>
              </w:rPr>
            </w:pPr>
            <w:r w:rsidRPr="00C87B7B">
              <w:rPr>
                <w:rFonts w:ascii="Symbol" w:hAnsi="Symbol"/>
                <w:sz w:val="16"/>
                <w:szCs w:val="16"/>
              </w:rPr>
              <w:t></w:t>
            </w:r>
            <w:r w:rsidR="006945E7" w:rsidRPr="00EA2BB7">
              <w:rPr>
                <w:sz w:val="16"/>
                <w:szCs w:val="16"/>
              </w:rPr>
              <w:t>6.2</w:t>
            </w:r>
          </w:p>
        </w:tc>
        <w:tc>
          <w:tcPr>
            <w:tcW w:w="1029" w:type="dxa"/>
            <w:vAlign w:val="bottom"/>
          </w:tcPr>
          <w:p w14:paraId="6C5A00A0" w14:textId="77777777" w:rsidR="006945E7" w:rsidRPr="00EA2BB7" w:rsidRDefault="006945E7" w:rsidP="006945E7">
            <w:pPr>
              <w:pStyle w:val="Text"/>
              <w:ind w:firstLine="0"/>
              <w:jc w:val="left"/>
              <w:rPr>
                <w:sz w:val="16"/>
                <w:szCs w:val="16"/>
              </w:rPr>
            </w:pPr>
            <w:r w:rsidRPr="00EA2BB7">
              <w:rPr>
                <w:sz w:val="16"/>
                <w:szCs w:val="16"/>
              </w:rPr>
              <w:t>2.015</w:t>
            </w:r>
          </w:p>
        </w:tc>
        <w:tc>
          <w:tcPr>
            <w:tcW w:w="992" w:type="dxa"/>
            <w:vAlign w:val="bottom"/>
          </w:tcPr>
          <w:p w14:paraId="53D6EF9D" w14:textId="77777777" w:rsidR="006945E7" w:rsidRPr="00EA2BB7" w:rsidRDefault="006945E7" w:rsidP="006945E7">
            <w:pPr>
              <w:pStyle w:val="Text"/>
              <w:ind w:firstLine="0"/>
              <w:jc w:val="left"/>
              <w:rPr>
                <w:sz w:val="16"/>
                <w:szCs w:val="16"/>
              </w:rPr>
            </w:pPr>
            <w:r w:rsidRPr="00EA2BB7">
              <w:rPr>
                <w:sz w:val="16"/>
                <w:szCs w:val="16"/>
              </w:rPr>
              <w:t>2.712</w:t>
            </w:r>
          </w:p>
        </w:tc>
      </w:tr>
      <w:tr w:rsidR="00C34D41" w:rsidRPr="00EA2BB7" w14:paraId="4ADB04C4" w14:textId="77777777" w:rsidTr="00C714FA">
        <w:tc>
          <w:tcPr>
            <w:tcW w:w="608" w:type="dxa"/>
          </w:tcPr>
          <w:p w14:paraId="2FC5F677" w14:textId="77777777" w:rsidR="006945E7" w:rsidRPr="00EA2BB7" w:rsidRDefault="006945E7" w:rsidP="006945E7">
            <w:pPr>
              <w:pStyle w:val="Text"/>
              <w:ind w:firstLine="0"/>
              <w:jc w:val="left"/>
              <w:rPr>
                <w:sz w:val="16"/>
                <w:szCs w:val="16"/>
              </w:rPr>
            </w:pPr>
            <w:r w:rsidRPr="00EA2BB7">
              <w:rPr>
                <w:sz w:val="16"/>
                <w:szCs w:val="16"/>
              </w:rPr>
              <w:t>3</w:t>
            </w:r>
          </w:p>
        </w:tc>
        <w:tc>
          <w:tcPr>
            <w:tcW w:w="910" w:type="dxa"/>
            <w:vAlign w:val="bottom"/>
          </w:tcPr>
          <w:p w14:paraId="588CF265" w14:textId="16E6C356" w:rsidR="006945E7" w:rsidRPr="00EA2BB7" w:rsidRDefault="00C87B7B" w:rsidP="006945E7">
            <w:pPr>
              <w:pStyle w:val="Text"/>
              <w:ind w:firstLine="0"/>
              <w:jc w:val="left"/>
              <w:rPr>
                <w:sz w:val="16"/>
                <w:szCs w:val="16"/>
              </w:rPr>
            </w:pPr>
            <w:r w:rsidRPr="00C87B7B">
              <w:rPr>
                <w:rFonts w:ascii="Symbol" w:hAnsi="Symbol"/>
                <w:sz w:val="16"/>
                <w:szCs w:val="16"/>
              </w:rPr>
              <w:t></w:t>
            </w:r>
            <w:r w:rsidR="006945E7" w:rsidRPr="00EA2BB7">
              <w:rPr>
                <w:sz w:val="16"/>
                <w:szCs w:val="16"/>
              </w:rPr>
              <w:t>6.2</w:t>
            </w:r>
          </w:p>
        </w:tc>
        <w:tc>
          <w:tcPr>
            <w:tcW w:w="1029" w:type="dxa"/>
            <w:vAlign w:val="bottom"/>
          </w:tcPr>
          <w:p w14:paraId="323BEB41" w14:textId="77777777" w:rsidR="006945E7" w:rsidRPr="00EA2BB7" w:rsidRDefault="006945E7" w:rsidP="006945E7">
            <w:pPr>
              <w:pStyle w:val="Text"/>
              <w:ind w:firstLine="0"/>
              <w:jc w:val="left"/>
              <w:rPr>
                <w:sz w:val="16"/>
                <w:szCs w:val="16"/>
              </w:rPr>
            </w:pPr>
            <w:r w:rsidRPr="00EA2BB7">
              <w:rPr>
                <w:sz w:val="16"/>
                <w:szCs w:val="16"/>
              </w:rPr>
              <w:t>2.159</w:t>
            </w:r>
          </w:p>
        </w:tc>
        <w:tc>
          <w:tcPr>
            <w:tcW w:w="992" w:type="dxa"/>
            <w:vAlign w:val="bottom"/>
          </w:tcPr>
          <w:p w14:paraId="3FBCD8EE" w14:textId="77777777" w:rsidR="006945E7" w:rsidRPr="00EA2BB7" w:rsidRDefault="006945E7" w:rsidP="006945E7">
            <w:pPr>
              <w:pStyle w:val="Text"/>
              <w:ind w:firstLine="0"/>
              <w:jc w:val="left"/>
              <w:rPr>
                <w:sz w:val="16"/>
                <w:szCs w:val="16"/>
              </w:rPr>
            </w:pPr>
            <w:r w:rsidRPr="00EA2BB7">
              <w:rPr>
                <w:sz w:val="16"/>
                <w:szCs w:val="16"/>
              </w:rPr>
              <w:t>6.879</w:t>
            </w:r>
          </w:p>
        </w:tc>
      </w:tr>
      <w:tr w:rsidR="00C34D41" w:rsidRPr="00EA2BB7" w14:paraId="79D99CB7" w14:textId="77777777" w:rsidTr="00C714FA">
        <w:tc>
          <w:tcPr>
            <w:tcW w:w="608" w:type="dxa"/>
          </w:tcPr>
          <w:p w14:paraId="4F52B908" w14:textId="77777777" w:rsidR="006945E7" w:rsidRPr="00EA2BB7" w:rsidRDefault="006945E7" w:rsidP="006945E7">
            <w:pPr>
              <w:pStyle w:val="Text"/>
              <w:ind w:firstLine="0"/>
              <w:jc w:val="left"/>
              <w:rPr>
                <w:sz w:val="16"/>
                <w:szCs w:val="16"/>
              </w:rPr>
            </w:pPr>
            <w:r w:rsidRPr="00EA2BB7">
              <w:rPr>
                <w:sz w:val="16"/>
                <w:szCs w:val="16"/>
              </w:rPr>
              <w:t>4</w:t>
            </w:r>
          </w:p>
        </w:tc>
        <w:tc>
          <w:tcPr>
            <w:tcW w:w="910" w:type="dxa"/>
            <w:vAlign w:val="bottom"/>
          </w:tcPr>
          <w:p w14:paraId="33913BFA" w14:textId="18E61A9A" w:rsidR="006945E7" w:rsidRPr="00EA2BB7" w:rsidRDefault="00C87B7B" w:rsidP="006945E7">
            <w:pPr>
              <w:pStyle w:val="Text"/>
              <w:ind w:firstLine="0"/>
              <w:jc w:val="left"/>
              <w:rPr>
                <w:sz w:val="16"/>
                <w:szCs w:val="16"/>
              </w:rPr>
            </w:pPr>
            <w:r w:rsidRPr="00C87B7B">
              <w:rPr>
                <w:rFonts w:ascii="Symbol" w:hAnsi="Symbol"/>
                <w:sz w:val="16"/>
                <w:szCs w:val="16"/>
              </w:rPr>
              <w:t></w:t>
            </w:r>
            <w:r w:rsidR="006945E7" w:rsidRPr="00EA2BB7">
              <w:rPr>
                <w:sz w:val="16"/>
                <w:szCs w:val="16"/>
              </w:rPr>
              <w:t>6.1</w:t>
            </w:r>
          </w:p>
        </w:tc>
        <w:tc>
          <w:tcPr>
            <w:tcW w:w="1029" w:type="dxa"/>
            <w:vAlign w:val="bottom"/>
          </w:tcPr>
          <w:p w14:paraId="65B6B804" w14:textId="77777777" w:rsidR="006945E7" w:rsidRPr="00EA2BB7" w:rsidRDefault="006945E7" w:rsidP="006945E7">
            <w:pPr>
              <w:pStyle w:val="Text"/>
              <w:ind w:firstLine="0"/>
              <w:jc w:val="left"/>
              <w:rPr>
                <w:sz w:val="16"/>
                <w:szCs w:val="16"/>
              </w:rPr>
            </w:pPr>
            <w:r w:rsidRPr="00EA2BB7">
              <w:rPr>
                <w:sz w:val="16"/>
                <w:szCs w:val="16"/>
              </w:rPr>
              <w:t>1.416</w:t>
            </w:r>
          </w:p>
        </w:tc>
        <w:tc>
          <w:tcPr>
            <w:tcW w:w="992" w:type="dxa"/>
            <w:vAlign w:val="bottom"/>
          </w:tcPr>
          <w:p w14:paraId="2DBE5542" w14:textId="77777777" w:rsidR="006945E7" w:rsidRPr="00EA2BB7" w:rsidRDefault="006945E7" w:rsidP="006945E7">
            <w:pPr>
              <w:pStyle w:val="Text"/>
              <w:ind w:firstLine="0"/>
              <w:jc w:val="left"/>
              <w:rPr>
                <w:sz w:val="16"/>
                <w:szCs w:val="16"/>
              </w:rPr>
            </w:pPr>
            <w:r w:rsidRPr="00EA2BB7">
              <w:rPr>
                <w:sz w:val="16"/>
                <w:szCs w:val="16"/>
              </w:rPr>
              <w:t>6.324</w:t>
            </w:r>
          </w:p>
        </w:tc>
      </w:tr>
      <w:tr w:rsidR="00C34D41" w:rsidRPr="00EA2BB7" w14:paraId="1AECC785" w14:textId="77777777" w:rsidTr="00C714FA">
        <w:tc>
          <w:tcPr>
            <w:tcW w:w="608" w:type="dxa"/>
          </w:tcPr>
          <w:p w14:paraId="2C5E0D38" w14:textId="77777777" w:rsidR="006945E7" w:rsidRPr="00EA2BB7" w:rsidRDefault="006945E7" w:rsidP="006945E7">
            <w:pPr>
              <w:pStyle w:val="Text"/>
              <w:ind w:firstLine="0"/>
              <w:jc w:val="left"/>
              <w:rPr>
                <w:sz w:val="16"/>
                <w:szCs w:val="16"/>
              </w:rPr>
            </w:pPr>
            <w:r w:rsidRPr="00EA2BB7">
              <w:rPr>
                <w:sz w:val="16"/>
                <w:szCs w:val="16"/>
              </w:rPr>
              <w:t>5</w:t>
            </w:r>
          </w:p>
        </w:tc>
        <w:tc>
          <w:tcPr>
            <w:tcW w:w="910" w:type="dxa"/>
            <w:vAlign w:val="bottom"/>
          </w:tcPr>
          <w:p w14:paraId="2F2DF72F" w14:textId="1A6BB6F2" w:rsidR="006945E7" w:rsidRPr="00EA2BB7" w:rsidRDefault="00C87B7B" w:rsidP="006945E7">
            <w:pPr>
              <w:pStyle w:val="Text"/>
              <w:ind w:firstLine="0"/>
              <w:jc w:val="left"/>
              <w:rPr>
                <w:sz w:val="16"/>
                <w:szCs w:val="16"/>
              </w:rPr>
            </w:pPr>
            <w:r w:rsidRPr="00C87B7B">
              <w:rPr>
                <w:rFonts w:ascii="Symbol" w:hAnsi="Symbol"/>
                <w:sz w:val="16"/>
                <w:szCs w:val="16"/>
              </w:rPr>
              <w:t></w:t>
            </w:r>
            <w:r w:rsidR="006945E7" w:rsidRPr="00EA2BB7">
              <w:rPr>
                <w:sz w:val="16"/>
                <w:szCs w:val="16"/>
              </w:rPr>
              <w:t>5.5</w:t>
            </w:r>
          </w:p>
        </w:tc>
        <w:tc>
          <w:tcPr>
            <w:tcW w:w="1029" w:type="dxa"/>
            <w:vAlign w:val="bottom"/>
          </w:tcPr>
          <w:p w14:paraId="117097C0" w14:textId="77777777" w:rsidR="006945E7" w:rsidRPr="00EA2BB7" w:rsidRDefault="006945E7" w:rsidP="006945E7">
            <w:pPr>
              <w:pStyle w:val="Text"/>
              <w:ind w:firstLine="0"/>
              <w:jc w:val="left"/>
              <w:rPr>
                <w:sz w:val="16"/>
                <w:szCs w:val="16"/>
              </w:rPr>
            </w:pPr>
            <w:r w:rsidRPr="00EA2BB7">
              <w:rPr>
                <w:sz w:val="16"/>
                <w:szCs w:val="16"/>
              </w:rPr>
              <w:t>2.722</w:t>
            </w:r>
          </w:p>
        </w:tc>
        <w:tc>
          <w:tcPr>
            <w:tcW w:w="992" w:type="dxa"/>
            <w:vAlign w:val="bottom"/>
          </w:tcPr>
          <w:p w14:paraId="277A53C7" w14:textId="77777777" w:rsidR="006945E7" w:rsidRPr="00EA2BB7" w:rsidRDefault="006945E7" w:rsidP="006945E7">
            <w:pPr>
              <w:pStyle w:val="Text"/>
              <w:ind w:firstLine="0"/>
              <w:jc w:val="left"/>
              <w:rPr>
                <w:sz w:val="16"/>
                <w:szCs w:val="16"/>
              </w:rPr>
            </w:pPr>
            <w:r w:rsidRPr="00EA2BB7">
              <w:rPr>
                <w:sz w:val="16"/>
                <w:szCs w:val="16"/>
              </w:rPr>
              <w:t>5.349</w:t>
            </w:r>
          </w:p>
        </w:tc>
      </w:tr>
      <w:tr w:rsidR="00C34D41" w:rsidRPr="00EA2BB7" w14:paraId="02D9E0FD" w14:textId="77777777" w:rsidTr="00C714FA">
        <w:tc>
          <w:tcPr>
            <w:tcW w:w="608" w:type="dxa"/>
          </w:tcPr>
          <w:p w14:paraId="08AF0513" w14:textId="77777777" w:rsidR="006945E7" w:rsidRPr="00EA2BB7" w:rsidRDefault="006945E7" w:rsidP="006945E7">
            <w:pPr>
              <w:pStyle w:val="Text"/>
              <w:ind w:firstLine="0"/>
              <w:jc w:val="left"/>
              <w:rPr>
                <w:sz w:val="16"/>
                <w:szCs w:val="16"/>
              </w:rPr>
            </w:pPr>
            <w:r w:rsidRPr="00EA2BB7">
              <w:rPr>
                <w:sz w:val="16"/>
                <w:szCs w:val="16"/>
              </w:rPr>
              <w:t>6</w:t>
            </w:r>
          </w:p>
        </w:tc>
        <w:tc>
          <w:tcPr>
            <w:tcW w:w="910" w:type="dxa"/>
            <w:vAlign w:val="bottom"/>
          </w:tcPr>
          <w:p w14:paraId="3D624F84" w14:textId="4D9F3916" w:rsidR="006945E7" w:rsidRPr="00EA2BB7" w:rsidRDefault="00C87B7B" w:rsidP="006945E7">
            <w:pPr>
              <w:pStyle w:val="Text"/>
              <w:ind w:firstLine="0"/>
              <w:jc w:val="left"/>
              <w:rPr>
                <w:sz w:val="16"/>
                <w:szCs w:val="16"/>
              </w:rPr>
            </w:pPr>
            <w:r w:rsidRPr="00C87B7B">
              <w:rPr>
                <w:rFonts w:ascii="Symbol" w:hAnsi="Symbol"/>
                <w:sz w:val="16"/>
                <w:szCs w:val="16"/>
              </w:rPr>
              <w:t></w:t>
            </w:r>
            <w:r w:rsidR="006945E7" w:rsidRPr="00EA2BB7">
              <w:rPr>
                <w:sz w:val="16"/>
                <w:szCs w:val="16"/>
              </w:rPr>
              <w:t>5.3</w:t>
            </w:r>
          </w:p>
        </w:tc>
        <w:tc>
          <w:tcPr>
            <w:tcW w:w="1029" w:type="dxa"/>
            <w:vAlign w:val="bottom"/>
          </w:tcPr>
          <w:p w14:paraId="7F915BD5" w14:textId="77777777" w:rsidR="006945E7" w:rsidRPr="00EA2BB7" w:rsidRDefault="006945E7" w:rsidP="006945E7">
            <w:pPr>
              <w:pStyle w:val="Text"/>
              <w:ind w:firstLine="0"/>
              <w:jc w:val="left"/>
              <w:rPr>
                <w:sz w:val="16"/>
                <w:szCs w:val="16"/>
              </w:rPr>
            </w:pPr>
            <w:r w:rsidRPr="00EA2BB7">
              <w:rPr>
                <w:sz w:val="16"/>
                <w:szCs w:val="16"/>
              </w:rPr>
              <w:t>3.307</w:t>
            </w:r>
          </w:p>
        </w:tc>
        <w:tc>
          <w:tcPr>
            <w:tcW w:w="992" w:type="dxa"/>
            <w:vAlign w:val="bottom"/>
          </w:tcPr>
          <w:p w14:paraId="067CF544" w14:textId="77777777" w:rsidR="006945E7" w:rsidRPr="00EA2BB7" w:rsidRDefault="006945E7" w:rsidP="006945E7">
            <w:pPr>
              <w:pStyle w:val="Text"/>
              <w:ind w:firstLine="0"/>
              <w:jc w:val="left"/>
              <w:rPr>
                <w:sz w:val="16"/>
                <w:szCs w:val="16"/>
              </w:rPr>
            </w:pPr>
            <w:r w:rsidRPr="00EA2BB7">
              <w:rPr>
                <w:sz w:val="16"/>
                <w:szCs w:val="16"/>
              </w:rPr>
              <w:t>7.378</w:t>
            </w:r>
          </w:p>
        </w:tc>
      </w:tr>
      <w:tr w:rsidR="00C34D41" w:rsidRPr="00EA2BB7" w14:paraId="60B94269" w14:textId="77777777" w:rsidTr="00C714FA">
        <w:tc>
          <w:tcPr>
            <w:tcW w:w="608" w:type="dxa"/>
          </w:tcPr>
          <w:p w14:paraId="7B98EE9F" w14:textId="77777777" w:rsidR="006945E7" w:rsidRPr="00EA2BB7" w:rsidRDefault="006945E7" w:rsidP="006945E7">
            <w:pPr>
              <w:pStyle w:val="Text"/>
              <w:ind w:firstLine="0"/>
              <w:jc w:val="left"/>
              <w:rPr>
                <w:sz w:val="16"/>
                <w:szCs w:val="16"/>
              </w:rPr>
            </w:pPr>
            <w:r w:rsidRPr="00EA2BB7">
              <w:rPr>
                <w:sz w:val="16"/>
                <w:szCs w:val="16"/>
              </w:rPr>
              <w:t>7</w:t>
            </w:r>
          </w:p>
        </w:tc>
        <w:tc>
          <w:tcPr>
            <w:tcW w:w="910" w:type="dxa"/>
            <w:vAlign w:val="bottom"/>
          </w:tcPr>
          <w:p w14:paraId="35074A1E" w14:textId="5DBD56BC" w:rsidR="006945E7" w:rsidRPr="00EA2BB7" w:rsidRDefault="00C87B7B" w:rsidP="006945E7">
            <w:pPr>
              <w:pStyle w:val="Text"/>
              <w:ind w:firstLine="0"/>
              <w:jc w:val="left"/>
              <w:rPr>
                <w:sz w:val="16"/>
                <w:szCs w:val="16"/>
              </w:rPr>
            </w:pPr>
            <w:r w:rsidRPr="00C87B7B">
              <w:rPr>
                <w:rFonts w:ascii="Symbol" w:hAnsi="Symbol"/>
                <w:sz w:val="16"/>
                <w:szCs w:val="16"/>
              </w:rPr>
              <w:t></w:t>
            </w:r>
            <w:r w:rsidR="006945E7" w:rsidRPr="00EA2BB7">
              <w:rPr>
                <w:sz w:val="16"/>
                <w:szCs w:val="16"/>
              </w:rPr>
              <w:t>5.2</w:t>
            </w:r>
          </w:p>
        </w:tc>
        <w:tc>
          <w:tcPr>
            <w:tcW w:w="1029" w:type="dxa"/>
            <w:vAlign w:val="bottom"/>
          </w:tcPr>
          <w:p w14:paraId="73B33125" w14:textId="77777777" w:rsidR="006945E7" w:rsidRPr="00EA2BB7" w:rsidRDefault="006945E7" w:rsidP="006945E7">
            <w:pPr>
              <w:pStyle w:val="Text"/>
              <w:ind w:firstLine="0"/>
              <w:jc w:val="left"/>
              <w:rPr>
                <w:sz w:val="16"/>
                <w:szCs w:val="16"/>
              </w:rPr>
            </w:pPr>
            <w:r w:rsidRPr="00EA2BB7">
              <w:rPr>
                <w:sz w:val="16"/>
                <w:szCs w:val="16"/>
              </w:rPr>
              <w:t>4.006</w:t>
            </w:r>
          </w:p>
        </w:tc>
        <w:tc>
          <w:tcPr>
            <w:tcW w:w="992" w:type="dxa"/>
            <w:vAlign w:val="bottom"/>
          </w:tcPr>
          <w:p w14:paraId="3C7146E3" w14:textId="77777777" w:rsidR="006945E7" w:rsidRPr="00EA2BB7" w:rsidRDefault="006945E7" w:rsidP="006945E7">
            <w:pPr>
              <w:pStyle w:val="Text"/>
              <w:ind w:firstLine="0"/>
              <w:jc w:val="left"/>
              <w:rPr>
                <w:sz w:val="16"/>
                <w:szCs w:val="16"/>
              </w:rPr>
            </w:pPr>
            <w:r w:rsidRPr="00EA2BB7">
              <w:rPr>
                <w:sz w:val="16"/>
                <w:szCs w:val="16"/>
              </w:rPr>
              <w:t>5.643</w:t>
            </w:r>
          </w:p>
        </w:tc>
      </w:tr>
      <w:tr w:rsidR="00C34D41" w:rsidRPr="00EA2BB7" w14:paraId="533A6191" w14:textId="77777777" w:rsidTr="00C714FA">
        <w:tc>
          <w:tcPr>
            <w:tcW w:w="608" w:type="dxa"/>
          </w:tcPr>
          <w:p w14:paraId="3E35AF14" w14:textId="77777777" w:rsidR="006945E7" w:rsidRPr="00EA2BB7" w:rsidRDefault="006945E7" w:rsidP="006945E7">
            <w:pPr>
              <w:pStyle w:val="Text"/>
              <w:ind w:firstLine="0"/>
              <w:jc w:val="left"/>
              <w:rPr>
                <w:sz w:val="16"/>
                <w:szCs w:val="16"/>
              </w:rPr>
            </w:pPr>
            <w:r w:rsidRPr="00EA2BB7">
              <w:rPr>
                <w:sz w:val="16"/>
                <w:szCs w:val="16"/>
              </w:rPr>
              <w:t>8</w:t>
            </w:r>
          </w:p>
        </w:tc>
        <w:tc>
          <w:tcPr>
            <w:tcW w:w="910" w:type="dxa"/>
            <w:vAlign w:val="bottom"/>
          </w:tcPr>
          <w:p w14:paraId="2C8A728D" w14:textId="20988FA0" w:rsidR="006945E7" w:rsidRPr="00EA2BB7" w:rsidRDefault="00C87B7B" w:rsidP="006945E7">
            <w:pPr>
              <w:pStyle w:val="Text"/>
              <w:ind w:firstLine="0"/>
              <w:jc w:val="left"/>
              <w:rPr>
                <w:sz w:val="16"/>
                <w:szCs w:val="16"/>
              </w:rPr>
            </w:pPr>
            <w:r w:rsidRPr="00C87B7B">
              <w:rPr>
                <w:rFonts w:ascii="Symbol" w:hAnsi="Symbol"/>
                <w:sz w:val="16"/>
                <w:szCs w:val="16"/>
              </w:rPr>
              <w:t></w:t>
            </w:r>
            <w:r w:rsidR="006945E7" w:rsidRPr="00EA2BB7">
              <w:rPr>
                <w:sz w:val="16"/>
                <w:szCs w:val="16"/>
              </w:rPr>
              <w:t>5.2</w:t>
            </w:r>
          </w:p>
        </w:tc>
        <w:tc>
          <w:tcPr>
            <w:tcW w:w="1029" w:type="dxa"/>
            <w:vAlign w:val="bottom"/>
          </w:tcPr>
          <w:p w14:paraId="56594E5B" w14:textId="77777777" w:rsidR="006945E7" w:rsidRPr="00EA2BB7" w:rsidRDefault="006945E7" w:rsidP="006945E7">
            <w:pPr>
              <w:pStyle w:val="Text"/>
              <w:ind w:firstLine="0"/>
              <w:jc w:val="left"/>
              <w:rPr>
                <w:sz w:val="16"/>
                <w:szCs w:val="16"/>
              </w:rPr>
            </w:pPr>
            <w:r w:rsidRPr="00EA2BB7">
              <w:rPr>
                <w:sz w:val="16"/>
                <w:szCs w:val="16"/>
              </w:rPr>
              <w:t>4.778</w:t>
            </w:r>
          </w:p>
        </w:tc>
        <w:tc>
          <w:tcPr>
            <w:tcW w:w="992" w:type="dxa"/>
            <w:vAlign w:val="bottom"/>
          </w:tcPr>
          <w:p w14:paraId="3B1FEFAC" w14:textId="77777777" w:rsidR="006945E7" w:rsidRPr="00EA2BB7" w:rsidRDefault="006945E7" w:rsidP="006945E7">
            <w:pPr>
              <w:pStyle w:val="Text"/>
              <w:ind w:firstLine="0"/>
              <w:jc w:val="left"/>
              <w:rPr>
                <w:sz w:val="16"/>
                <w:szCs w:val="16"/>
              </w:rPr>
            </w:pPr>
            <w:r w:rsidRPr="00EA2BB7">
              <w:rPr>
                <w:sz w:val="16"/>
                <w:szCs w:val="16"/>
              </w:rPr>
              <w:t>8.978</w:t>
            </w:r>
          </w:p>
        </w:tc>
      </w:tr>
      <w:tr w:rsidR="00C34D41" w:rsidRPr="00EA2BB7" w14:paraId="495A3451" w14:textId="77777777" w:rsidTr="00C714FA">
        <w:tc>
          <w:tcPr>
            <w:tcW w:w="608" w:type="dxa"/>
          </w:tcPr>
          <w:p w14:paraId="01BDC77B" w14:textId="77777777" w:rsidR="006945E7" w:rsidRPr="00EA2BB7" w:rsidRDefault="006945E7" w:rsidP="006945E7">
            <w:pPr>
              <w:pStyle w:val="Text"/>
              <w:ind w:firstLine="0"/>
              <w:jc w:val="left"/>
              <w:rPr>
                <w:sz w:val="16"/>
                <w:szCs w:val="16"/>
              </w:rPr>
            </w:pPr>
            <w:r w:rsidRPr="00EA2BB7">
              <w:rPr>
                <w:sz w:val="16"/>
                <w:szCs w:val="16"/>
              </w:rPr>
              <w:lastRenderedPageBreak/>
              <w:t>9</w:t>
            </w:r>
          </w:p>
        </w:tc>
        <w:tc>
          <w:tcPr>
            <w:tcW w:w="910" w:type="dxa"/>
            <w:vAlign w:val="bottom"/>
          </w:tcPr>
          <w:p w14:paraId="689A57F4" w14:textId="546BBB03" w:rsidR="006945E7" w:rsidRPr="00EA2BB7" w:rsidRDefault="00C87B7B" w:rsidP="006945E7">
            <w:pPr>
              <w:pStyle w:val="Text"/>
              <w:ind w:firstLine="0"/>
              <w:jc w:val="left"/>
              <w:rPr>
                <w:sz w:val="16"/>
                <w:szCs w:val="16"/>
              </w:rPr>
            </w:pPr>
            <w:r w:rsidRPr="00C87B7B">
              <w:rPr>
                <w:rFonts w:ascii="Symbol" w:hAnsi="Symbol"/>
                <w:sz w:val="16"/>
                <w:szCs w:val="16"/>
              </w:rPr>
              <w:t></w:t>
            </w:r>
            <w:r w:rsidR="006945E7" w:rsidRPr="00EA2BB7">
              <w:rPr>
                <w:sz w:val="16"/>
                <w:szCs w:val="16"/>
              </w:rPr>
              <w:t>5.1</w:t>
            </w:r>
          </w:p>
        </w:tc>
        <w:tc>
          <w:tcPr>
            <w:tcW w:w="1029" w:type="dxa"/>
            <w:vAlign w:val="bottom"/>
          </w:tcPr>
          <w:p w14:paraId="042D142C" w14:textId="77777777" w:rsidR="006945E7" w:rsidRPr="00EA2BB7" w:rsidRDefault="006945E7" w:rsidP="006945E7">
            <w:pPr>
              <w:pStyle w:val="Text"/>
              <w:ind w:firstLine="0"/>
              <w:jc w:val="left"/>
              <w:rPr>
                <w:sz w:val="16"/>
                <w:szCs w:val="16"/>
              </w:rPr>
            </w:pPr>
            <w:r w:rsidRPr="00EA2BB7">
              <w:rPr>
                <w:sz w:val="16"/>
                <w:szCs w:val="16"/>
              </w:rPr>
              <w:t>72.033</w:t>
            </w:r>
          </w:p>
        </w:tc>
        <w:tc>
          <w:tcPr>
            <w:tcW w:w="992" w:type="dxa"/>
            <w:vAlign w:val="bottom"/>
          </w:tcPr>
          <w:p w14:paraId="506B8F03" w14:textId="77777777" w:rsidR="006945E7" w:rsidRPr="00EA2BB7" w:rsidRDefault="006945E7" w:rsidP="006945E7">
            <w:pPr>
              <w:pStyle w:val="Text"/>
              <w:ind w:firstLine="0"/>
              <w:jc w:val="left"/>
              <w:rPr>
                <w:sz w:val="16"/>
                <w:szCs w:val="16"/>
              </w:rPr>
            </w:pPr>
            <w:r w:rsidRPr="00EA2BB7">
              <w:rPr>
                <w:sz w:val="16"/>
                <w:szCs w:val="16"/>
              </w:rPr>
              <w:t>75.526</w:t>
            </w:r>
          </w:p>
        </w:tc>
      </w:tr>
    </w:tbl>
    <w:p w14:paraId="219CCB53" w14:textId="73BED640" w:rsidR="000B4890" w:rsidRPr="00EA2BB7" w:rsidRDefault="000B4890" w:rsidP="00396F96">
      <w:pPr>
        <w:pStyle w:val="Subchapter"/>
        <w:tabs>
          <w:tab w:val="left" w:pos="4369"/>
        </w:tabs>
        <w:jc w:val="both"/>
      </w:pPr>
    </w:p>
    <w:p w14:paraId="4D870F81" w14:textId="5220191B" w:rsidR="0089517A" w:rsidRPr="00EA2BB7" w:rsidRDefault="0089517A" w:rsidP="00F100EE">
      <w:pPr>
        <w:pStyle w:val="Subchapter"/>
      </w:pPr>
    </w:p>
    <w:p w14:paraId="1B5B9B91" w14:textId="77777777" w:rsidR="0089517A" w:rsidRPr="00EA2BB7" w:rsidRDefault="0089517A" w:rsidP="0089517A">
      <w:pPr>
        <w:pStyle w:val="Text"/>
      </w:pPr>
    </w:p>
    <w:p w14:paraId="0F9D8F03" w14:textId="77777777" w:rsidR="00F66955" w:rsidRPr="00EA2BB7" w:rsidRDefault="00F66955" w:rsidP="006F4EFC">
      <w:pPr>
        <w:pStyle w:val="Text"/>
        <w:ind w:firstLine="0"/>
        <w:rPr>
          <w:sz w:val="18"/>
          <w:szCs w:val="18"/>
        </w:rPr>
      </w:pPr>
    </w:p>
    <w:p w14:paraId="246BB729" w14:textId="44BB410C" w:rsidR="0089517A" w:rsidRPr="00EA2BB7" w:rsidRDefault="006F4EFC" w:rsidP="004C4792">
      <w:pPr>
        <w:pStyle w:val="Figures"/>
        <w:jc w:val="left"/>
      </w:pPr>
      <w:r w:rsidRPr="00EA2BB7">
        <w:t xml:space="preserve">Fig. 3. Representation of </w:t>
      </w:r>
      <w:proofErr w:type="spellStart"/>
      <w:r w:rsidRPr="00EA2BB7">
        <w:t>kermesic</w:t>
      </w:r>
      <w:proofErr w:type="spellEnd"/>
      <w:r w:rsidRPr="00EA2BB7">
        <w:t xml:space="preserve"> </w:t>
      </w:r>
      <w:r w:rsidRPr="00EA2BB7">
        <w:rPr>
          <w:szCs w:val="18"/>
        </w:rPr>
        <w:t>acid interaction with alpha synuclein</w:t>
      </w:r>
      <w:r w:rsidR="00467722" w:rsidRPr="00EA2BB7">
        <w:rPr>
          <w:szCs w:val="18"/>
        </w:rPr>
        <w:t>.</w:t>
      </w:r>
    </w:p>
    <w:p w14:paraId="47C72C32" w14:textId="2AE68FD7" w:rsidR="00A47286" w:rsidRPr="00EA2BB7" w:rsidRDefault="00A47286" w:rsidP="0023275D">
      <w:pPr>
        <w:pStyle w:val="Text"/>
      </w:pPr>
      <w:r w:rsidRPr="00EA2BB7">
        <w:t xml:space="preserve">In the case of </w:t>
      </w:r>
      <w:proofErr w:type="spellStart"/>
      <w:r w:rsidRPr="00EA2BB7">
        <w:t>kermesic</w:t>
      </w:r>
      <w:proofErr w:type="spellEnd"/>
      <w:r w:rsidRPr="00EA2BB7">
        <w:t xml:space="preserve"> acid, </w:t>
      </w:r>
      <w:r w:rsidR="00E05B8E" w:rsidRPr="00EA2BB7">
        <w:t xml:space="preserve">the </w:t>
      </w:r>
      <w:r w:rsidRPr="00EA2BB7">
        <w:t>interaction is mediated by multiple hydrop</w:t>
      </w:r>
      <w:r w:rsidR="00B63CCC" w:rsidRPr="00EA2BB7">
        <w:t>h</w:t>
      </w:r>
      <w:r w:rsidRPr="00EA2BB7">
        <w:t xml:space="preserve">obic </w:t>
      </w:r>
      <w:r w:rsidR="00B63CCC" w:rsidRPr="00EA2BB7">
        <w:t>contacts</w:t>
      </w:r>
      <w:r w:rsidRPr="00EA2BB7">
        <w:t xml:space="preserve"> (for example with </w:t>
      </w:r>
      <w:proofErr w:type="spellStart"/>
      <w:r w:rsidR="00B63CCC" w:rsidRPr="00EA2BB7">
        <w:t>aminoacids</w:t>
      </w:r>
      <w:proofErr w:type="spellEnd"/>
      <w:r w:rsidR="00B63CCC" w:rsidRPr="00EA2BB7">
        <w:t xml:space="preserve"> </w:t>
      </w:r>
      <w:r w:rsidRPr="00EA2BB7">
        <w:t>G</w:t>
      </w:r>
      <w:r w:rsidR="00E05B8E" w:rsidRPr="00EA2BB7">
        <w:t>ly</w:t>
      </w:r>
      <w:r w:rsidRPr="00EA2BB7">
        <w:t>36, Gly41) and a hydrogen bond formed with Val40</w:t>
      </w:r>
      <w:r w:rsidR="00125FC2" w:rsidRPr="00EA2BB7">
        <w:t xml:space="preserve"> (</w:t>
      </w:r>
      <w:r w:rsidR="00F66955" w:rsidRPr="00EA2BB7">
        <w:t>shown in Figure 2).</w:t>
      </w:r>
    </w:p>
    <w:p w14:paraId="7F8D0080" w14:textId="5EBB42F9" w:rsidR="0023275D" w:rsidRPr="00EA2BB7" w:rsidRDefault="00A47286" w:rsidP="004C4792">
      <w:pPr>
        <w:pStyle w:val="Text"/>
      </w:pPr>
      <w:proofErr w:type="spellStart"/>
      <w:r w:rsidRPr="00EA2BB7">
        <w:t>Laccaic</w:t>
      </w:r>
      <w:proofErr w:type="spellEnd"/>
      <w:r w:rsidRPr="00EA2BB7">
        <w:t xml:space="preserve"> acid forms hydrogen bonds with </w:t>
      </w:r>
      <w:proofErr w:type="spellStart"/>
      <w:r w:rsidR="00B63CCC" w:rsidRPr="00EA2BB7">
        <w:t>aminoacids</w:t>
      </w:r>
      <w:proofErr w:type="spellEnd"/>
      <w:r w:rsidR="00B63CCC" w:rsidRPr="00EA2BB7">
        <w:t xml:space="preserve"> </w:t>
      </w:r>
      <w:r w:rsidRPr="00EA2BB7">
        <w:t>Val40 and Lys32 and numerous hydrophobic interactions with adjacent residues (for example Gly41, T</w:t>
      </w:r>
      <w:r w:rsidR="00BB7D82" w:rsidRPr="00EA2BB7">
        <w:t>yr39)</w:t>
      </w:r>
      <w:r w:rsidR="00F66955" w:rsidRPr="00EA2BB7">
        <w:t xml:space="preserve"> as shown in Figure 3. </w:t>
      </w:r>
    </w:p>
    <w:p w14:paraId="1C2B9B3B" w14:textId="51052D96" w:rsidR="00F056BA" w:rsidRPr="00EA2BB7" w:rsidRDefault="009A5FAE" w:rsidP="004C4792">
      <w:pPr>
        <w:pStyle w:val="Subchapter"/>
      </w:pPr>
      <w:r w:rsidRPr="00EA2BB7">
        <w:t>ADME EVALUATION OF CARMINIC ACID</w:t>
      </w:r>
    </w:p>
    <w:p w14:paraId="52A37E45" w14:textId="30906BDB" w:rsidR="000F7F00" w:rsidRPr="00EA2BB7" w:rsidRDefault="005B1C8B" w:rsidP="000F7F00">
      <w:pPr>
        <w:pStyle w:val="Text"/>
      </w:pPr>
      <w:r w:rsidRPr="00EA2BB7">
        <w:t>In the case of carminic acid</w:t>
      </w:r>
      <w:r w:rsidR="003108B5" w:rsidRPr="00EA2BB7">
        <w:t>, t</w:t>
      </w:r>
      <w:r w:rsidR="006E3BF0" w:rsidRPr="00EA2BB7">
        <w:t xml:space="preserve">he </w:t>
      </w:r>
      <w:r w:rsidR="00FB0050" w:rsidRPr="00C714FA">
        <w:t>partition coefficient (</w:t>
      </w:r>
      <w:proofErr w:type="spellStart"/>
      <w:r w:rsidR="006E3BF0" w:rsidRPr="00C714FA">
        <w:t>logP</w:t>
      </w:r>
      <w:proofErr w:type="spellEnd"/>
      <w:r w:rsidR="00FB0050" w:rsidRPr="00C714FA">
        <w:t>)</w:t>
      </w:r>
      <w:r w:rsidR="006E3BF0" w:rsidRPr="00C714FA">
        <w:t xml:space="preserve"> </w:t>
      </w:r>
      <w:r w:rsidR="006E3BF0" w:rsidRPr="00EA2BB7">
        <w:t xml:space="preserve">calculations </w:t>
      </w:r>
      <w:r w:rsidR="003108B5" w:rsidRPr="00EA2BB7">
        <w:t>consensus show a negative value, indicating the compound is not lipophilic.</w:t>
      </w:r>
      <w:r w:rsidRPr="00EA2BB7">
        <w:t xml:space="preserve"> </w:t>
      </w:r>
      <w:r w:rsidR="003108B5" w:rsidRPr="00EA2BB7">
        <w:t>O</w:t>
      </w:r>
      <w:r w:rsidRPr="00EA2BB7">
        <w:t xml:space="preserve">ur analysis </w:t>
      </w:r>
      <w:r w:rsidR="00B63CCC" w:rsidRPr="00EA2BB7">
        <w:t>shows</w:t>
      </w:r>
      <w:r w:rsidRPr="00EA2BB7">
        <w:t xml:space="preserve"> that it has</w:t>
      </w:r>
      <w:r w:rsidR="003108B5" w:rsidRPr="00EA2BB7">
        <w:t xml:space="preserve"> moderate water solubi</w:t>
      </w:r>
      <w:r w:rsidR="00B63CCC" w:rsidRPr="00EA2BB7">
        <w:t>li</w:t>
      </w:r>
      <w:r w:rsidR="003108B5" w:rsidRPr="00EA2BB7">
        <w:t>ty with</w:t>
      </w:r>
      <w:r w:rsidRPr="00EA2BB7">
        <w:t xml:space="preserve"> </w:t>
      </w:r>
      <w:r w:rsidR="003108B5" w:rsidRPr="00EA2BB7">
        <w:t xml:space="preserve">low </w:t>
      </w:r>
      <w:r w:rsidRPr="00EA2BB7">
        <w:t>gas</w:t>
      </w:r>
      <w:r w:rsidR="003108B5" w:rsidRPr="00EA2BB7">
        <w:t>tro-intestinal absorption</w:t>
      </w:r>
      <w:r w:rsidRPr="00EA2BB7">
        <w:t xml:space="preserve"> </w:t>
      </w:r>
      <w:r w:rsidR="003108B5" w:rsidRPr="00EA2BB7">
        <w:t>and</w:t>
      </w:r>
      <w:r w:rsidRPr="00EA2BB7">
        <w:t xml:space="preserve"> </w:t>
      </w:r>
      <w:r w:rsidR="003108B5" w:rsidRPr="00EA2BB7">
        <w:t xml:space="preserve">does </w:t>
      </w:r>
      <w:r w:rsidRPr="00EA2BB7">
        <w:t>no</w:t>
      </w:r>
      <w:r w:rsidR="003108B5" w:rsidRPr="00EA2BB7">
        <w:t>t permeat</w:t>
      </w:r>
      <w:r w:rsidR="00480BB3" w:rsidRPr="00EA2BB7">
        <w:t>e</w:t>
      </w:r>
      <w:r w:rsidR="003108B5" w:rsidRPr="00EA2BB7">
        <w:t xml:space="preserve"> the blood-brain-barrier. </w:t>
      </w:r>
    </w:p>
    <w:p w14:paraId="5C36EA8D" w14:textId="6093B8CC" w:rsidR="00775735" w:rsidRPr="00EA2BB7" w:rsidRDefault="003108B5" w:rsidP="000F7F00">
      <w:pPr>
        <w:pStyle w:val="Text"/>
      </w:pPr>
      <w:r w:rsidRPr="00EA2BB7">
        <w:t xml:space="preserve">Carminic acid </w:t>
      </w:r>
      <w:r w:rsidR="00FB0050" w:rsidRPr="00C714FA">
        <w:t>is not an inhibitor</w:t>
      </w:r>
      <w:r w:rsidR="005B1C8B" w:rsidRPr="00C714FA">
        <w:t xml:space="preserve"> </w:t>
      </w:r>
      <w:r w:rsidR="005B1C8B" w:rsidRPr="00EA2BB7">
        <w:t xml:space="preserve">of the cytochrome P450 enzymes and is </w:t>
      </w:r>
      <w:r w:rsidRPr="00EA2BB7">
        <w:t>predicted</w:t>
      </w:r>
      <w:r w:rsidR="005B1C8B" w:rsidRPr="00EA2BB7">
        <w:t xml:space="preserve"> as a possible P-glycoprotein 1 substrate.</w:t>
      </w:r>
      <w:r w:rsidR="004D6711" w:rsidRPr="00EA2BB7">
        <w:t xml:space="preserve"> </w:t>
      </w:r>
      <w:r w:rsidR="00F056BA" w:rsidRPr="00EA2BB7">
        <w:t xml:space="preserve">The molecule is not drug-like according to </w:t>
      </w:r>
      <w:r w:rsidRPr="00EA2BB7">
        <w:t xml:space="preserve">the full set of five predictors </w:t>
      </w:r>
      <w:r w:rsidR="00DC33A8">
        <w:t xml:space="preserve">used by the </w:t>
      </w:r>
      <w:proofErr w:type="spellStart"/>
      <w:r w:rsidR="00DC33A8">
        <w:t>SwissADME</w:t>
      </w:r>
      <w:proofErr w:type="spellEnd"/>
      <w:r w:rsidR="00DC33A8">
        <w:t xml:space="preserve"> web-server.</w:t>
      </w:r>
      <w:r w:rsidR="00F056BA" w:rsidRPr="00EA2BB7">
        <w:t xml:space="preserve"> Carminic acid is also </w:t>
      </w:r>
      <w:r w:rsidR="00EA2BB7" w:rsidRPr="00C714FA">
        <w:t>predicted</w:t>
      </w:r>
      <w:r w:rsidR="00F056BA" w:rsidRPr="00C714FA">
        <w:t xml:space="preserve"> </w:t>
      </w:r>
      <w:r w:rsidR="00F056BA" w:rsidRPr="00EA2BB7">
        <w:t>to be a member of the pan-assay interference compounds class (PAINS), chemical compounds that have a high chan</w:t>
      </w:r>
      <w:r w:rsidR="00473404" w:rsidRPr="00EA2BB7">
        <w:t>c</w:t>
      </w:r>
      <w:r w:rsidR="00F056BA" w:rsidRPr="00EA2BB7">
        <w:t>e of giving a false positive result in high-throughput screen</w:t>
      </w:r>
      <w:r w:rsidR="00B63CCC" w:rsidRPr="00EA2BB7">
        <w:t xml:space="preserve">ing campaigns </w:t>
      </w:r>
      <w:r w:rsidR="00F056BA" w:rsidRPr="00EA2BB7">
        <w:t>by reacting non-specifically with a wide range of biological targets.</w:t>
      </w:r>
      <w:r w:rsidR="00DA3DD0" w:rsidRPr="00EA2BB7">
        <w:t xml:space="preserve"> The compound shows </w:t>
      </w:r>
      <w:r w:rsidR="00480BB3" w:rsidRPr="00EA2BB7">
        <w:t xml:space="preserve">an average </w:t>
      </w:r>
      <w:r w:rsidR="00DA3DD0" w:rsidRPr="00EA2BB7">
        <w:t xml:space="preserve">synthetic </w:t>
      </w:r>
      <w:r w:rsidR="00EA2BB7" w:rsidRPr="00C714FA">
        <w:t>accessibility</w:t>
      </w:r>
      <w:r w:rsidR="00DA3DD0" w:rsidRPr="00C714FA">
        <w:t xml:space="preserve"> of 5 (on a scale of 1 to 10, where 1 is eas</w:t>
      </w:r>
      <w:r w:rsidR="00480BB3" w:rsidRPr="00C714FA">
        <w:t>i</w:t>
      </w:r>
      <w:r w:rsidR="00DA3DD0" w:rsidRPr="00C714FA">
        <w:t xml:space="preserve">ly </w:t>
      </w:r>
      <w:r w:rsidR="00EA2BB7" w:rsidRPr="00C714FA">
        <w:t>accessible</w:t>
      </w:r>
      <w:r w:rsidR="00DA3DD0" w:rsidRPr="00C714FA">
        <w:t xml:space="preserve"> </w:t>
      </w:r>
      <w:r w:rsidR="00DA3DD0" w:rsidRPr="00EA2BB7">
        <w:t>and 10 is difficult)</w:t>
      </w:r>
      <w:r w:rsidR="00BC4F11" w:rsidRPr="00EA2BB7">
        <w:t xml:space="preserve"> and is not predicted to be lead-like</w:t>
      </w:r>
      <w:r w:rsidR="00F66955" w:rsidRPr="00EA2BB7">
        <w:t xml:space="preserve"> (Fig</w:t>
      </w:r>
      <w:r w:rsidR="004C4792" w:rsidRPr="00EA2BB7">
        <w:t>.</w:t>
      </w:r>
      <w:r w:rsidR="00F66955" w:rsidRPr="00EA2BB7">
        <w:t xml:space="preserve"> 4)</w:t>
      </w:r>
      <w:r w:rsidR="004C4792" w:rsidRPr="00EA2BB7">
        <w:t>.</w:t>
      </w:r>
    </w:p>
    <w:p w14:paraId="0873EA07" w14:textId="3735C534" w:rsidR="00A440CD" w:rsidRPr="00EA2BB7" w:rsidRDefault="004A2915" w:rsidP="00A440CD">
      <w:pPr>
        <w:pStyle w:val="Text"/>
        <w:ind w:firstLine="0"/>
      </w:pPr>
      <w:r w:rsidRPr="00EA2BB7">
        <w:rPr>
          <w:noProof/>
        </w:rPr>
        <w:drawing>
          <wp:anchor distT="0" distB="0" distL="114300" distR="114300" simplePos="0" relativeHeight="251664896" behindDoc="0" locked="0" layoutInCell="1" allowOverlap="1" wp14:anchorId="248362E5" wp14:editId="38F99BD6">
            <wp:simplePos x="0" y="0"/>
            <wp:positionH relativeFrom="margin">
              <wp:align>right</wp:align>
            </wp:positionH>
            <wp:positionV relativeFrom="paragraph">
              <wp:posOffset>57785</wp:posOffset>
            </wp:positionV>
            <wp:extent cx="4684395" cy="2344420"/>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minic_acid_SwissADME.PNG"/>
                    <pic:cNvPicPr/>
                  </pic:nvPicPr>
                  <pic:blipFill>
                    <a:blip r:embed="rId15">
                      <a:grayscl/>
                      <a:extLst>
                        <a:ext uri="{BEBA8EAE-BF5A-486C-A8C5-ECC9F3942E4B}">
                          <a14:imgProps xmlns:a14="http://schemas.microsoft.com/office/drawing/2010/main">
                            <a14:imgLayer r:embed="rId16">
                              <a14:imgEffect>
                                <a14:sharpenSoften amount="100000"/>
                              </a14:imgEffect>
                              <a14:imgEffect>
                                <a14:saturation sat="0"/>
                              </a14:imgEffect>
                              <a14:imgEffect>
                                <a14:brightnessContrast contrast="-10000"/>
                              </a14:imgEffect>
                            </a14:imgLayer>
                          </a14:imgProps>
                        </a:ext>
                        <a:ext uri="{28A0092B-C50C-407E-A947-70E740481C1C}">
                          <a14:useLocalDpi xmlns:a14="http://schemas.microsoft.com/office/drawing/2010/main" val="0"/>
                        </a:ext>
                      </a:extLst>
                    </a:blip>
                    <a:stretch>
                      <a:fillRect/>
                    </a:stretch>
                  </pic:blipFill>
                  <pic:spPr>
                    <a:xfrm>
                      <a:off x="0" y="0"/>
                      <a:ext cx="4684395" cy="2344420"/>
                    </a:xfrm>
                    <a:prstGeom prst="rect">
                      <a:avLst/>
                    </a:prstGeom>
                  </pic:spPr>
                </pic:pic>
              </a:graphicData>
            </a:graphic>
            <wp14:sizeRelH relativeFrom="margin">
              <wp14:pctWidth>0</wp14:pctWidth>
            </wp14:sizeRelH>
            <wp14:sizeRelV relativeFrom="margin">
              <wp14:pctHeight>0</wp14:pctHeight>
            </wp14:sizeRelV>
          </wp:anchor>
        </w:drawing>
      </w:r>
    </w:p>
    <w:p w14:paraId="446C5767" w14:textId="61DB5AC3" w:rsidR="0023275D" w:rsidRPr="00EA2BB7" w:rsidRDefault="0023275D" w:rsidP="0023275D">
      <w:pPr>
        <w:pStyle w:val="Text"/>
      </w:pPr>
    </w:p>
    <w:p w14:paraId="4AA76A82" w14:textId="1CC7EA56" w:rsidR="0023275D" w:rsidRPr="00EA2BB7" w:rsidRDefault="0023275D" w:rsidP="0023275D">
      <w:pPr>
        <w:pStyle w:val="Text"/>
      </w:pPr>
    </w:p>
    <w:p w14:paraId="6786C990" w14:textId="6056E2B0" w:rsidR="00011CCF" w:rsidRPr="00EA2BB7" w:rsidRDefault="00011CCF" w:rsidP="00011CCF">
      <w:pPr>
        <w:pStyle w:val="Text"/>
      </w:pPr>
    </w:p>
    <w:p w14:paraId="38EF7ACC" w14:textId="77777777" w:rsidR="00011CCF" w:rsidRPr="00EA2BB7" w:rsidRDefault="00011CCF" w:rsidP="00011CCF">
      <w:pPr>
        <w:pStyle w:val="Text"/>
      </w:pPr>
    </w:p>
    <w:p w14:paraId="5646A3A6" w14:textId="77777777" w:rsidR="00011CCF" w:rsidRPr="00EA2BB7" w:rsidRDefault="00011CCF" w:rsidP="00011CCF">
      <w:pPr>
        <w:pStyle w:val="Text"/>
      </w:pPr>
    </w:p>
    <w:p w14:paraId="6F00F257" w14:textId="77777777" w:rsidR="00011CCF" w:rsidRPr="00EA2BB7" w:rsidRDefault="00011CCF" w:rsidP="00011CCF">
      <w:pPr>
        <w:pStyle w:val="Text"/>
      </w:pPr>
    </w:p>
    <w:p w14:paraId="125DE80C" w14:textId="77777777" w:rsidR="00011CCF" w:rsidRPr="00EA2BB7" w:rsidRDefault="00011CCF" w:rsidP="00011CCF">
      <w:pPr>
        <w:pStyle w:val="Text"/>
      </w:pPr>
    </w:p>
    <w:p w14:paraId="379BD253" w14:textId="77777777" w:rsidR="00011CCF" w:rsidRPr="00EA2BB7" w:rsidRDefault="00011CCF" w:rsidP="00011CCF">
      <w:pPr>
        <w:pStyle w:val="Text"/>
      </w:pPr>
    </w:p>
    <w:p w14:paraId="6FE09C4E" w14:textId="77777777" w:rsidR="00011CCF" w:rsidRPr="00EA2BB7" w:rsidRDefault="00011CCF" w:rsidP="00011CCF">
      <w:pPr>
        <w:pStyle w:val="Text"/>
      </w:pPr>
    </w:p>
    <w:p w14:paraId="16D95A98" w14:textId="77777777" w:rsidR="00011CCF" w:rsidRPr="00EA2BB7" w:rsidRDefault="00011CCF" w:rsidP="00011CCF">
      <w:pPr>
        <w:pStyle w:val="Text"/>
      </w:pPr>
    </w:p>
    <w:p w14:paraId="2B752F3E" w14:textId="77777777" w:rsidR="00011CCF" w:rsidRPr="00EA2BB7" w:rsidRDefault="00011CCF" w:rsidP="00011CCF">
      <w:pPr>
        <w:pStyle w:val="Text"/>
      </w:pPr>
    </w:p>
    <w:p w14:paraId="49A235F0" w14:textId="1C208E22" w:rsidR="00011CCF" w:rsidRPr="00EA2BB7" w:rsidRDefault="00011CCF" w:rsidP="00011CCF">
      <w:pPr>
        <w:pStyle w:val="Text"/>
      </w:pPr>
    </w:p>
    <w:p w14:paraId="6EFC1EE9" w14:textId="77777777" w:rsidR="00011CCF" w:rsidRPr="00EA2BB7" w:rsidRDefault="00011CCF" w:rsidP="00011CCF">
      <w:pPr>
        <w:pStyle w:val="Text"/>
      </w:pPr>
    </w:p>
    <w:p w14:paraId="56714FEA" w14:textId="77777777" w:rsidR="00F66955" w:rsidRPr="00EA2BB7" w:rsidRDefault="00F66955" w:rsidP="00F66955">
      <w:pPr>
        <w:pStyle w:val="Text"/>
        <w:ind w:firstLine="0"/>
        <w:rPr>
          <w:sz w:val="18"/>
          <w:szCs w:val="18"/>
        </w:rPr>
      </w:pPr>
    </w:p>
    <w:p w14:paraId="409604B7" w14:textId="68EF4631" w:rsidR="00011CCF" w:rsidRPr="00EA2BB7" w:rsidRDefault="00F66955" w:rsidP="004C4792">
      <w:pPr>
        <w:pStyle w:val="Figures"/>
      </w:pPr>
      <w:r w:rsidRPr="00EA2BB7">
        <w:t>Fig. 4.  Various predicted properties for carminic acid (general physicochemical properties, lipophilicity, water solubility, pharmacokinetics, drug</w:t>
      </w:r>
      <w:r w:rsidR="0092083C">
        <w:t>-</w:t>
      </w:r>
      <w:r w:rsidRPr="00EA2BB7">
        <w:t xml:space="preserve">likeness and medicinal chemistry characterization), </w:t>
      </w:r>
      <w:r w:rsidR="00DC33A8" w:rsidRPr="00C714FA">
        <w:t>provided</w:t>
      </w:r>
      <w:r w:rsidRPr="00C714FA">
        <w:t xml:space="preserve"> </w:t>
      </w:r>
      <w:r w:rsidRPr="00EA2BB7">
        <w:t xml:space="preserve">by the </w:t>
      </w:r>
      <w:proofErr w:type="spellStart"/>
      <w:r w:rsidRPr="00EA2BB7">
        <w:t>SwissADME</w:t>
      </w:r>
      <w:proofErr w:type="spellEnd"/>
      <w:r w:rsidRPr="00EA2BB7">
        <w:t xml:space="preserve"> web-server.</w:t>
      </w:r>
    </w:p>
    <w:p w14:paraId="462FFC32" w14:textId="013F7564" w:rsidR="006945E7" w:rsidRPr="00EA2BB7" w:rsidRDefault="009A5FAE" w:rsidP="004C4792">
      <w:pPr>
        <w:pStyle w:val="Subchapter"/>
      </w:pPr>
      <w:r w:rsidRPr="00EA2BB7">
        <w:t xml:space="preserve">ADME EVALUATION OF KERMESIC ACID </w:t>
      </w:r>
    </w:p>
    <w:p w14:paraId="66B9272B" w14:textId="04CBD2BB" w:rsidR="006945E7" w:rsidRPr="00EA2BB7" w:rsidRDefault="005B469C" w:rsidP="006945E7">
      <w:pPr>
        <w:pStyle w:val="Text"/>
      </w:pPr>
      <w:r w:rsidRPr="00EA2BB7">
        <w:t xml:space="preserve">In the case of </w:t>
      </w:r>
      <w:proofErr w:type="spellStart"/>
      <w:r w:rsidRPr="00EA2BB7">
        <w:t>kermesic</w:t>
      </w:r>
      <w:proofErr w:type="spellEnd"/>
      <w:r w:rsidRPr="00EA2BB7">
        <w:t xml:space="preserve"> acid, </w:t>
      </w:r>
      <w:proofErr w:type="spellStart"/>
      <w:r w:rsidR="006E3BF0" w:rsidRPr="00EA2BB7">
        <w:t>logP</w:t>
      </w:r>
      <w:proofErr w:type="spellEnd"/>
      <w:r w:rsidR="006E3BF0" w:rsidRPr="00EA2BB7">
        <w:t xml:space="preserve"> calculations </w:t>
      </w:r>
      <w:r w:rsidR="006945E7" w:rsidRPr="00EA2BB7">
        <w:t xml:space="preserve">consensus show a positive </w:t>
      </w:r>
      <w:r w:rsidRPr="00EA2BB7">
        <w:t>value, indicating that the compound is lipophilic</w:t>
      </w:r>
      <w:r w:rsidR="00480BB3" w:rsidRPr="00EA2BB7">
        <w:t>.</w:t>
      </w:r>
      <w:r w:rsidRPr="00EA2BB7">
        <w:t xml:space="preserve"> </w:t>
      </w:r>
      <w:r w:rsidR="00C04DF3" w:rsidRPr="00EA2BB7">
        <w:t>Our analysis shows that it has moderate water solubi</w:t>
      </w:r>
      <w:r w:rsidR="00480BB3" w:rsidRPr="00EA2BB7">
        <w:t>li</w:t>
      </w:r>
      <w:r w:rsidR="00C04DF3" w:rsidRPr="00EA2BB7">
        <w:t>ty</w:t>
      </w:r>
      <w:r w:rsidR="00480BB3" w:rsidRPr="00EA2BB7">
        <w:t>,</w:t>
      </w:r>
      <w:r w:rsidR="00C04DF3" w:rsidRPr="00EA2BB7">
        <w:t xml:space="preserve"> with low gastro-intestinal absorption and does not permeate the blood-brain-barrier. Also, </w:t>
      </w:r>
      <w:proofErr w:type="spellStart"/>
      <w:r w:rsidR="00C04DF3" w:rsidRPr="00EA2BB7">
        <w:t>kermesic</w:t>
      </w:r>
      <w:proofErr w:type="spellEnd"/>
      <w:r w:rsidR="00C04DF3" w:rsidRPr="00EA2BB7">
        <w:t xml:space="preserve"> acid </w:t>
      </w:r>
      <w:r w:rsidR="00DC33A8" w:rsidRPr="00C714FA">
        <w:t xml:space="preserve">is not an inhibitor </w:t>
      </w:r>
      <w:r w:rsidRPr="00C714FA">
        <w:t xml:space="preserve">of </w:t>
      </w:r>
      <w:r w:rsidRPr="00EA2BB7">
        <w:t xml:space="preserve">the cytochrome P450 enzymes and is not a possible P-glycoprotein 1 substrate. The molecule is drug-like according to </w:t>
      </w:r>
      <w:r w:rsidR="00DC33A8">
        <w:t xml:space="preserve">two out of the five predictors used by the </w:t>
      </w:r>
      <w:proofErr w:type="spellStart"/>
      <w:r w:rsidR="00DC33A8">
        <w:t>SwissADME</w:t>
      </w:r>
      <w:proofErr w:type="spellEnd"/>
      <w:r w:rsidR="00DC33A8">
        <w:t xml:space="preserve"> webserver.</w:t>
      </w:r>
    </w:p>
    <w:p w14:paraId="26ADE6A0" w14:textId="128D370B" w:rsidR="005B469C" w:rsidRPr="00EA2BB7" w:rsidRDefault="00C04DF3" w:rsidP="006945E7">
      <w:pPr>
        <w:pStyle w:val="Text"/>
      </w:pPr>
      <w:proofErr w:type="spellStart"/>
      <w:r w:rsidRPr="00EA2BB7">
        <w:t>Kermesic</w:t>
      </w:r>
      <w:proofErr w:type="spellEnd"/>
      <w:r w:rsidR="005B469C" w:rsidRPr="00EA2BB7">
        <w:t xml:space="preserve"> acid is also </w:t>
      </w:r>
      <w:r w:rsidR="00EA2BB7" w:rsidRPr="00C714FA">
        <w:t>predicted</w:t>
      </w:r>
      <w:r w:rsidR="005B469C" w:rsidRPr="00C714FA">
        <w:t xml:space="preserve"> </w:t>
      </w:r>
      <w:r w:rsidR="005B469C" w:rsidRPr="00EA2BB7">
        <w:t>to be a member of the pan-assay interference compounds class (PAINS), chemical compounds that have a high chan</w:t>
      </w:r>
      <w:r w:rsidR="00473404" w:rsidRPr="00EA2BB7">
        <w:t xml:space="preserve">ce </w:t>
      </w:r>
      <w:r w:rsidR="005B469C" w:rsidRPr="00EA2BB7">
        <w:t>of giving a false positive result in high-throughput screening campaigns</w:t>
      </w:r>
      <w:r w:rsidR="00FE43AA" w:rsidRPr="00EA2BB7">
        <w:t xml:space="preserve"> </w:t>
      </w:r>
      <w:r w:rsidR="005B469C" w:rsidRPr="00EA2BB7">
        <w:t xml:space="preserve">by reacting non-specifically with a wide range of biological targets. </w:t>
      </w:r>
      <w:r w:rsidR="00FE43AA" w:rsidRPr="00EA2BB7">
        <w:t>Importantly, t</w:t>
      </w:r>
      <w:r w:rsidR="005B469C" w:rsidRPr="00EA2BB7">
        <w:t xml:space="preserve">he compound shows </w:t>
      </w:r>
      <w:r w:rsidR="00FE43AA" w:rsidRPr="00EA2BB7">
        <w:t>high</w:t>
      </w:r>
      <w:r w:rsidR="005B469C" w:rsidRPr="00EA2BB7">
        <w:t xml:space="preserve"> synthetic </w:t>
      </w:r>
      <w:r w:rsidR="00EA2BB7" w:rsidRPr="00C714FA">
        <w:t>accessibility</w:t>
      </w:r>
      <w:r w:rsidR="005B469C" w:rsidRPr="00C714FA">
        <w:t xml:space="preserve"> </w:t>
      </w:r>
      <w:r w:rsidR="005B469C" w:rsidRPr="00EA2BB7">
        <w:t xml:space="preserve">of </w:t>
      </w:r>
      <w:r w:rsidR="00FE43AA" w:rsidRPr="00EA2BB7">
        <w:t>2.79</w:t>
      </w:r>
      <w:r w:rsidR="005B469C" w:rsidRPr="00EA2BB7">
        <w:t xml:space="preserve"> (on a scale of 1 to 10, where 1 is </w:t>
      </w:r>
      <w:r w:rsidR="00EA2BB7" w:rsidRPr="00C714FA">
        <w:t>easily</w:t>
      </w:r>
      <w:r w:rsidR="005B469C" w:rsidRPr="00C714FA">
        <w:t xml:space="preserve"> </w:t>
      </w:r>
      <w:r w:rsidR="00EA2BB7" w:rsidRPr="00EA2BB7">
        <w:t>accessible</w:t>
      </w:r>
      <w:r w:rsidR="005B469C" w:rsidRPr="00EA2BB7">
        <w:t xml:space="preserve"> and 10 is difficult)</w:t>
      </w:r>
      <w:r w:rsidR="00FE43AA" w:rsidRPr="00EA2BB7">
        <w:t xml:space="preserve"> and is predicted to be lead-like</w:t>
      </w:r>
      <w:r w:rsidR="00F66955" w:rsidRPr="00EA2BB7">
        <w:t xml:space="preserve"> (Fig</w:t>
      </w:r>
      <w:r w:rsidR="004C4792" w:rsidRPr="00EA2BB7">
        <w:t>.</w:t>
      </w:r>
      <w:r w:rsidR="00F66955" w:rsidRPr="00EA2BB7">
        <w:t xml:space="preserve"> 5)</w:t>
      </w:r>
      <w:r w:rsidR="004C4792" w:rsidRPr="00EA2BB7">
        <w:t>.</w:t>
      </w:r>
    </w:p>
    <w:p w14:paraId="3B0AC17F" w14:textId="5245A876" w:rsidR="005B469C" w:rsidRPr="00EA2BB7" w:rsidRDefault="00F66955" w:rsidP="00011CCF">
      <w:pPr>
        <w:pStyle w:val="Text"/>
      </w:pPr>
      <w:r w:rsidRPr="00EA2BB7">
        <w:rPr>
          <w:noProof/>
        </w:rPr>
        <w:drawing>
          <wp:anchor distT="0" distB="0" distL="114300" distR="114300" simplePos="0" relativeHeight="251665920" behindDoc="0" locked="0" layoutInCell="1" allowOverlap="1" wp14:anchorId="4D7BAE79" wp14:editId="1A199EB7">
            <wp:simplePos x="0" y="0"/>
            <wp:positionH relativeFrom="margin">
              <wp:align>right</wp:align>
            </wp:positionH>
            <wp:positionV relativeFrom="paragraph">
              <wp:posOffset>69003</wp:posOffset>
            </wp:positionV>
            <wp:extent cx="4677834" cy="273812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mesic_acid_SwissADME.PNG"/>
                    <pic:cNvPicPr/>
                  </pic:nvPicPr>
                  <pic:blipFill>
                    <a:blip r:embed="rId17">
                      <a:grayscl/>
                      <a:extLst>
                        <a:ext uri="{BEBA8EAE-BF5A-486C-A8C5-ECC9F3942E4B}">
                          <a14:imgProps xmlns:a14="http://schemas.microsoft.com/office/drawing/2010/main">
                            <a14:imgLayer r:embed="rId18">
                              <a14:imgEffect>
                                <a14:sharpenSoften amount="1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4677834" cy="2738120"/>
                    </a:xfrm>
                    <a:prstGeom prst="rect">
                      <a:avLst/>
                    </a:prstGeom>
                  </pic:spPr>
                </pic:pic>
              </a:graphicData>
            </a:graphic>
            <wp14:sizeRelH relativeFrom="margin">
              <wp14:pctWidth>0</wp14:pctWidth>
            </wp14:sizeRelH>
            <wp14:sizeRelV relativeFrom="margin">
              <wp14:pctHeight>0</wp14:pctHeight>
            </wp14:sizeRelV>
          </wp:anchor>
        </w:drawing>
      </w:r>
    </w:p>
    <w:p w14:paraId="1FCD85E2" w14:textId="77777777" w:rsidR="00775735" w:rsidRPr="00EA2BB7" w:rsidRDefault="00775735" w:rsidP="00011CCF">
      <w:pPr>
        <w:pStyle w:val="Text"/>
      </w:pPr>
    </w:p>
    <w:p w14:paraId="5786125F" w14:textId="77777777" w:rsidR="00775735" w:rsidRPr="00EA2BB7" w:rsidRDefault="00775735" w:rsidP="00011CCF">
      <w:pPr>
        <w:pStyle w:val="Text"/>
      </w:pPr>
    </w:p>
    <w:p w14:paraId="21B57F2B" w14:textId="7D5F762D" w:rsidR="00775735" w:rsidRPr="00EA2BB7" w:rsidRDefault="00775735" w:rsidP="00011CCF">
      <w:pPr>
        <w:pStyle w:val="Text"/>
      </w:pPr>
    </w:p>
    <w:p w14:paraId="42A492B0" w14:textId="5E5AF30F" w:rsidR="00011CCF" w:rsidRPr="00EA2BB7" w:rsidRDefault="00011CCF" w:rsidP="00011CCF">
      <w:pPr>
        <w:pStyle w:val="Text"/>
      </w:pPr>
    </w:p>
    <w:p w14:paraId="3E9C401B" w14:textId="77777777" w:rsidR="00011CCF" w:rsidRPr="00EA2BB7" w:rsidRDefault="00011CCF" w:rsidP="00011CCF">
      <w:pPr>
        <w:pStyle w:val="Text"/>
      </w:pPr>
    </w:p>
    <w:p w14:paraId="0B54214E" w14:textId="77777777" w:rsidR="00011CCF" w:rsidRPr="00EA2BB7" w:rsidRDefault="00011CCF" w:rsidP="00011CCF">
      <w:pPr>
        <w:pStyle w:val="Text"/>
      </w:pPr>
    </w:p>
    <w:p w14:paraId="358E6A7A" w14:textId="77777777" w:rsidR="00011CCF" w:rsidRPr="00EA2BB7" w:rsidRDefault="00011CCF" w:rsidP="00011CCF">
      <w:pPr>
        <w:pStyle w:val="Text"/>
      </w:pPr>
    </w:p>
    <w:p w14:paraId="3397AC8D" w14:textId="77777777" w:rsidR="00011CCF" w:rsidRPr="00EA2BB7" w:rsidRDefault="00011CCF" w:rsidP="00011CCF">
      <w:pPr>
        <w:pStyle w:val="Text"/>
      </w:pPr>
    </w:p>
    <w:p w14:paraId="5CC37C15" w14:textId="77777777" w:rsidR="00011CCF" w:rsidRPr="00EA2BB7" w:rsidRDefault="00011CCF" w:rsidP="00011CCF">
      <w:pPr>
        <w:pStyle w:val="Text"/>
      </w:pPr>
    </w:p>
    <w:p w14:paraId="527C09D2" w14:textId="77777777" w:rsidR="00011CCF" w:rsidRPr="00EA2BB7" w:rsidRDefault="00011CCF" w:rsidP="00011CCF">
      <w:pPr>
        <w:pStyle w:val="Text"/>
      </w:pPr>
    </w:p>
    <w:p w14:paraId="7B918F1C" w14:textId="77777777" w:rsidR="00011CCF" w:rsidRPr="00EA2BB7" w:rsidRDefault="00011CCF" w:rsidP="00011CCF">
      <w:pPr>
        <w:pStyle w:val="Text"/>
      </w:pPr>
    </w:p>
    <w:p w14:paraId="02F56620" w14:textId="77777777" w:rsidR="0089517A" w:rsidRPr="00EA2BB7" w:rsidRDefault="0089517A" w:rsidP="00F100EE">
      <w:pPr>
        <w:pStyle w:val="Subchapter"/>
      </w:pPr>
    </w:p>
    <w:p w14:paraId="05B95882" w14:textId="77777777" w:rsidR="00775735" w:rsidRPr="00EA2BB7" w:rsidRDefault="00775735" w:rsidP="00F100EE">
      <w:pPr>
        <w:pStyle w:val="Text"/>
      </w:pPr>
    </w:p>
    <w:p w14:paraId="32852CB3" w14:textId="77777777" w:rsidR="00775735" w:rsidRPr="00EA2BB7" w:rsidRDefault="00775735" w:rsidP="00F100EE">
      <w:pPr>
        <w:pStyle w:val="Text"/>
      </w:pPr>
    </w:p>
    <w:p w14:paraId="768495CF" w14:textId="3E64A808" w:rsidR="006945E7" w:rsidRPr="00EA2BB7" w:rsidRDefault="000F7F00" w:rsidP="00F03B59">
      <w:pPr>
        <w:pStyle w:val="Figures"/>
      </w:pPr>
      <w:r w:rsidRPr="00EA2BB7">
        <w:lastRenderedPageBreak/>
        <w:t xml:space="preserve">Fig. </w:t>
      </w:r>
      <w:r w:rsidR="006F4EFC" w:rsidRPr="00EA2BB7">
        <w:t>5</w:t>
      </w:r>
      <w:r w:rsidRPr="00EA2BB7">
        <w:t xml:space="preserve">.  Various predicted properties for </w:t>
      </w:r>
      <w:proofErr w:type="spellStart"/>
      <w:r w:rsidRPr="00EA2BB7">
        <w:t>kermesic</w:t>
      </w:r>
      <w:proofErr w:type="spellEnd"/>
      <w:r w:rsidRPr="00EA2BB7">
        <w:t xml:space="preserve"> acid (general physicochemical properties, lipophilicity, water solubility, pharmacokinetics, drug</w:t>
      </w:r>
      <w:r w:rsidR="0092083C">
        <w:t>-</w:t>
      </w:r>
      <w:r w:rsidRPr="00EA2BB7">
        <w:t xml:space="preserve">likeness and medicinal chemistry characterization), </w:t>
      </w:r>
      <w:r w:rsidR="00EB5CF3" w:rsidRPr="00C714FA">
        <w:t>generated</w:t>
      </w:r>
      <w:r w:rsidRPr="00C714FA">
        <w:t xml:space="preserve"> </w:t>
      </w:r>
      <w:r w:rsidRPr="00EA2BB7">
        <w:t xml:space="preserve">by the </w:t>
      </w:r>
      <w:proofErr w:type="spellStart"/>
      <w:r w:rsidRPr="00EA2BB7">
        <w:t>SwissADME</w:t>
      </w:r>
      <w:proofErr w:type="spellEnd"/>
      <w:r w:rsidRPr="00EA2BB7">
        <w:t xml:space="preserve"> web-server. </w:t>
      </w:r>
    </w:p>
    <w:p w14:paraId="49944FFA" w14:textId="7E342CEE" w:rsidR="00937D2D" w:rsidRPr="00EA2BB7" w:rsidRDefault="009A5FAE" w:rsidP="00F03B59">
      <w:pPr>
        <w:pStyle w:val="Subchapter"/>
      </w:pPr>
      <w:r w:rsidRPr="00EA2BB7">
        <w:t>ADME EVALUATION OF LACCAIC ACID</w:t>
      </w:r>
    </w:p>
    <w:p w14:paraId="646DB973" w14:textId="7219A183" w:rsidR="00E61BCD" w:rsidRPr="00EA2BB7" w:rsidRDefault="00E61BCD" w:rsidP="00E61BCD">
      <w:pPr>
        <w:pStyle w:val="Text"/>
      </w:pPr>
      <w:r w:rsidRPr="00EA2BB7">
        <w:t xml:space="preserve">In the case of </w:t>
      </w:r>
      <w:proofErr w:type="spellStart"/>
      <w:r w:rsidRPr="00EA2BB7">
        <w:t>lacc</w:t>
      </w:r>
      <w:r w:rsidR="00DE4BC6" w:rsidRPr="00EA2BB7">
        <w:t>a</w:t>
      </w:r>
      <w:r w:rsidRPr="00EA2BB7">
        <w:t>ic</w:t>
      </w:r>
      <w:proofErr w:type="spellEnd"/>
      <w:r w:rsidRPr="00EA2BB7">
        <w:t xml:space="preserve"> acid, </w:t>
      </w:r>
      <w:proofErr w:type="spellStart"/>
      <w:r w:rsidR="006E3BF0" w:rsidRPr="00EA2BB7">
        <w:t>logP</w:t>
      </w:r>
      <w:proofErr w:type="spellEnd"/>
      <w:r w:rsidR="006E3BF0" w:rsidRPr="00EA2BB7">
        <w:t xml:space="preserve"> calculations </w:t>
      </w:r>
      <w:r w:rsidRPr="00EA2BB7">
        <w:t xml:space="preserve">consensus show a positive value of 1.33, indicating that the compound is lipophilic. It has poor gastro-intestinal absorption and </w:t>
      </w:r>
      <w:r w:rsidR="006E3BF0" w:rsidRPr="00EA2BB7">
        <w:t>low</w:t>
      </w:r>
      <w:r w:rsidRPr="00EA2BB7">
        <w:t xml:space="preserve"> water solubility, with no permeation of the blood-brain-barrier and </w:t>
      </w:r>
      <w:r w:rsidR="00DC33A8" w:rsidRPr="00C714FA">
        <w:t xml:space="preserve">is not an inhibitor </w:t>
      </w:r>
      <w:r w:rsidRPr="00EA2BB7">
        <w:t xml:space="preserve">of the cytochrome P450 enzymes and is not a possible P-glycoprotein 1 substrate. The molecule is drug-like according to </w:t>
      </w:r>
      <w:r w:rsidR="00DC33A8" w:rsidRPr="00EA2BB7">
        <w:t xml:space="preserve">according to </w:t>
      </w:r>
      <w:r w:rsidR="00DC33A8">
        <w:t xml:space="preserve">two out of the five predictors used by the </w:t>
      </w:r>
      <w:proofErr w:type="spellStart"/>
      <w:r w:rsidR="00DC33A8">
        <w:t>SwissADME</w:t>
      </w:r>
      <w:proofErr w:type="spellEnd"/>
      <w:r w:rsidR="00DC33A8">
        <w:t xml:space="preserve"> webserver</w:t>
      </w:r>
      <w:r w:rsidRPr="00EA2BB7">
        <w:t xml:space="preserve">. </w:t>
      </w:r>
      <w:proofErr w:type="spellStart"/>
      <w:r w:rsidR="003108B5" w:rsidRPr="00EA2BB7">
        <w:t>Laccaic</w:t>
      </w:r>
      <w:proofErr w:type="spellEnd"/>
      <w:r w:rsidRPr="00EA2BB7">
        <w:t xml:space="preserve"> acid is also </w:t>
      </w:r>
      <w:r w:rsidR="00EA2BB7" w:rsidRPr="00C714FA">
        <w:t>predicted</w:t>
      </w:r>
      <w:r w:rsidRPr="00C714FA">
        <w:t xml:space="preserve"> </w:t>
      </w:r>
      <w:r w:rsidRPr="00EA2BB7">
        <w:t>to be a member of the pan-assay interference compounds class (PAINS), chemical compounds that have a high chan</w:t>
      </w:r>
      <w:r w:rsidR="00473404" w:rsidRPr="00EA2BB7">
        <w:t>ce</w:t>
      </w:r>
      <w:r w:rsidRPr="00EA2BB7">
        <w:t xml:space="preserve"> of giving a false positive result in high-throughput screening campaigns by reacting non-specifically with a wide range of biological targets. </w:t>
      </w:r>
      <w:r w:rsidR="003108B5" w:rsidRPr="00EA2BB7">
        <w:t>T</w:t>
      </w:r>
      <w:r w:rsidRPr="00EA2BB7">
        <w:t xml:space="preserve">he compound shows high synthetic </w:t>
      </w:r>
      <w:r w:rsidR="00EA2BB7" w:rsidRPr="00C714FA">
        <w:t>accessibility</w:t>
      </w:r>
      <w:r w:rsidRPr="00C714FA">
        <w:t xml:space="preserve"> of </w:t>
      </w:r>
      <w:r w:rsidR="003108B5" w:rsidRPr="00C714FA">
        <w:t>3.22</w:t>
      </w:r>
      <w:r w:rsidRPr="00C714FA">
        <w:t xml:space="preserve"> (on a scale of 1 to 10, where 1 is </w:t>
      </w:r>
      <w:r w:rsidR="00EA2BB7" w:rsidRPr="00C714FA">
        <w:t>easily</w:t>
      </w:r>
      <w:r w:rsidRPr="00C714FA">
        <w:t xml:space="preserve"> </w:t>
      </w:r>
      <w:r w:rsidR="00EA2BB7" w:rsidRPr="00C714FA">
        <w:t>accessible</w:t>
      </w:r>
      <w:r w:rsidRPr="00C714FA">
        <w:t xml:space="preserve"> and 10 is dif</w:t>
      </w:r>
      <w:r w:rsidRPr="00EA2BB7">
        <w:t xml:space="preserve">ficult) and is </w:t>
      </w:r>
      <w:r w:rsidR="003108B5" w:rsidRPr="00EA2BB7">
        <w:t xml:space="preserve">not </w:t>
      </w:r>
      <w:r w:rsidRPr="00EA2BB7">
        <w:t>predicted to be lead-like</w:t>
      </w:r>
      <w:r w:rsidR="00F66955" w:rsidRPr="00EA2BB7">
        <w:t xml:space="preserve"> (Fig</w:t>
      </w:r>
      <w:r w:rsidR="00F03B59" w:rsidRPr="00EA2BB7">
        <w:t>.</w:t>
      </w:r>
      <w:r w:rsidR="00F66955" w:rsidRPr="00EA2BB7">
        <w:t xml:space="preserve"> 6)</w:t>
      </w:r>
      <w:r w:rsidR="00F03B59" w:rsidRPr="00EA2BB7">
        <w:t>.</w:t>
      </w:r>
    </w:p>
    <w:p w14:paraId="10D4B6DA" w14:textId="24DE4BEA" w:rsidR="00775735" w:rsidRPr="00EA2BB7" w:rsidRDefault="00F66955" w:rsidP="00F100EE">
      <w:pPr>
        <w:pStyle w:val="Text"/>
      </w:pPr>
      <w:r w:rsidRPr="00EA2BB7">
        <w:rPr>
          <w:noProof/>
        </w:rPr>
        <w:drawing>
          <wp:anchor distT="0" distB="0" distL="114300" distR="114300" simplePos="0" relativeHeight="251666944" behindDoc="0" locked="0" layoutInCell="1" allowOverlap="1" wp14:anchorId="2635D446" wp14:editId="062CE795">
            <wp:simplePos x="0" y="0"/>
            <wp:positionH relativeFrom="margin">
              <wp:align>right</wp:align>
            </wp:positionH>
            <wp:positionV relativeFrom="paragraph">
              <wp:posOffset>51012</wp:posOffset>
            </wp:positionV>
            <wp:extent cx="4682067" cy="2839720"/>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caic_acid_SwissADME.PNG"/>
                    <pic:cNvPicPr/>
                  </pic:nvPicPr>
                  <pic:blipFill>
                    <a:blip r:embed="rId19" cstate="print">
                      <a:grayscl/>
                      <a:extLst>
                        <a:ext uri="{BEBA8EAE-BF5A-486C-A8C5-ECC9F3942E4B}">
                          <a14:imgProps xmlns:a14="http://schemas.microsoft.com/office/drawing/2010/main">
                            <a14:imgLayer r:embed="rId20">
                              <a14:imgEffect>
                                <a14:sharpenSoften amount="100000"/>
                              </a14:imgEffect>
                              <a14:imgEffect>
                                <a14:brightnessContrast contrast="-10000"/>
                              </a14:imgEffect>
                            </a14:imgLayer>
                          </a14:imgProps>
                        </a:ext>
                        <a:ext uri="{28A0092B-C50C-407E-A947-70E740481C1C}">
                          <a14:useLocalDpi xmlns:a14="http://schemas.microsoft.com/office/drawing/2010/main" val="0"/>
                        </a:ext>
                      </a:extLst>
                    </a:blip>
                    <a:stretch>
                      <a:fillRect/>
                    </a:stretch>
                  </pic:blipFill>
                  <pic:spPr>
                    <a:xfrm>
                      <a:off x="0" y="0"/>
                      <a:ext cx="4682067" cy="2839720"/>
                    </a:xfrm>
                    <a:prstGeom prst="rect">
                      <a:avLst/>
                    </a:prstGeom>
                  </pic:spPr>
                </pic:pic>
              </a:graphicData>
            </a:graphic>
            <wp14:sizeRelH relativeFrom="page">
              <wp14:pctWidth>0</wp14:pctWidth>
            </wp14:sizeRelH>
            <wp14:sizeRelV relativeFrom="page">
              <wp14:pctHeight>0</wp14:pctHeight>
            </wp14:sizeRelV>
          </wp:anchor>
        </w:drawing>
      </w:r>
    </w:p>
    <w:p w14:paraId="06600C98" w14:textId="79935985" w:rsidR="00775735" w:rsidRPr="00EA2BB7" w:rsidRDefault="00775735" w:rsidP="00F66955">
      <w:pPr>
        <w:pStyle w:val="Text"/>
        <w:jc w:val="left"/>
      </w:pPr>
    </w:p>
    <w:p w14:paraId="2DCFCE1E" w14:textId="77777777" w:rsidR="00775735" w:rsidRPr="00EA2BB7" w:rsidRDefault="00775735" w:rsidP="00F100EE">
      <w:pPr>
        <w:pStyle w:val="Text"/>
      </w:pPr>
    </w:p>
    <w:p w14:paraId="636A3037" w14:textId="77777777" w:rsidR="000F7F00" w:rsidRPr="00EA2BB7" w:rsidRDefault="000F7F00" w:rsidP="000F7F00">
      <w:pPr>
        <w:pStyle w:val="Text"/>
        <w:rPr>
          <w:sz w:val="18"/>
          <w:szCs w:val="18"/>
        </w:rPr>
      </w:pPr>
    </w:p>
    <w:p w14:paraId="0DD7CEC4" w14:textId="77777777" w:rsidR="00F66955" w:rsidRPr="00EA2BB7" w:rsidRDefault="00F66955" w:rsidP="000F7F00">
      <w:pPr>
        <w:pStyle w:val="Text"/>
        <w:ind w:firstLine="0"/>
        <w:rPr>
          <w:sz w:val="18"/>
          <w:szCs w:val="18"/>
        </w:rPr>
      </w:pPr>
    </w:p>
    <w:p w14:paraId="2B23EC80" w14:textId="77777777" w:rsidR="00F66955" w:rsidRPr="00EA2BB7" w:rsidRDefault="00F66955" w:rsidP="000F7F00">
      <w:pPr>
        <w:pStyle w:val="Text"/>
        <w:ind w:firstLine="0"/>
        <w:rPr>
          <w:sz w:val="18"/>
          <w:szCs w:val="18"/>
        </w:rPr>
      </w:pPr>
    </w:p>
    <w:p w14:paraId="1C34C64A" w14:textId="77777777" w:rsidR="00F66955" w:rsidRPr="00EA2BB7" w:rsidRDefault="00F66955" w:rsidP="000F7F00">
      <w:pPr>
        <w:pStyle w:val="Text"/>
        <w:ind w:firstLine="0"/>
        <w:rPr>
          <w:sz w:val="18"/>
          <w:szCs w:val="18"/>
        </w:rPr>
      </w:pPr>
    </w:p>
    <w:p w14:paraId="2FA7CBEB" w14:textId="77777777" w:rsidR="00F66955" w:rsidRPr="00EA2BB7" w:rsidRDefault="00F66955" w:rsidP="000F7F00">
      <w:pPr>
        <w:pStyle w:val="Text"/>
        <w:ind w:firstLine="0"/>
        <w:rPr>
          <w:sz w:val="18"/>
          <w:szCs w:val="18"/>
        </w:rPr>
      </w:pPr>
    </w:p>
    <w:p w14:paraId="5346B157" w14:textId="77777777" w:rsidR="00F66955" w:rsidRPr="00EA2BB7" w:rsidRDefault="00F66955" w:rsidP="000F7F00">
      <w:pPr>
        <w:pStyle w:val="Text"/>
        <w:ind w:firstLine="0"/>
        <w:rPr>
          <w:sz w:val="18"/>
          <w:szCs w:val="18"/>
        </w:rPr>
      </w:pPr>
    </w:p>
    <w:p w14:paraId="5A0E2E92" w14:textId="77777777" w:rsidR="00F66955" w:rsidRPr="00EA2BB7" w:rsidRDefault="00F66955" w:rsidP="000F7F00">
      <w:pPr>
        <w:pStyle w:val="Text"/>
        <w:ind w:firstLine="0"/>
        <w:rPr>
          <w:sz w:val="18"/>
          <w:szCs w:val="18"/>
        </w:rPr>
      </w:pPr>
    </w:p>
    <w:p w14:paraId="6D1D7A51" w14:textId="77777777" w:rsidR="00F66955" w:rsidRPr="00EA2BB7" w:rsidRDefault="00F66955" w:rsidP="000F7F00">
      <w:pPr>
        <w:pStyle w:val="Text"/>
        <w:ind w:firstLine="0"/>
        <w:rPr>
          <w:sz w:val="18"/>
          <w:szCs w:val="18"/>
        </w:rPr>
      </w:pPr>
    </w:p>
    <w:p w14:paraId="1EEA691E" w14:textId="77777777" w:rsidR="00F66955" w:rsidRPr="00EA2BB7" w:rsidRDefault="00F66955" w:rsidP="000F7F00">
      <w:pPr>
        <w:pStyle w:val="Text"/>
        <w:ind w:firstLine="0"/>
        <w:rPr>
          <w:sz w:val="18"/>
          <w:szCs w:val="18"/>
        </w:rPr>
      </w:pPr>
    </w:p>
    <w:p w14:paraId="21CF68C2" w14:textId="77777777" w:rsidR="00F66955" w:rsidRPr="00EA2BB7" w:rsidRDefault="00F66955" w:rsidP="000F7F00">
      <w:pPr>
        <w:pStyle w:val="Text"/>
        <w:ind w:firstLine="0"/>
        <w:rPr>
          <w:sz w:val="18"/>
          <w:szCs w:val="18"/>
        </w:rPr>
      </w:pPr>
    </w:p>
    <w:p w14:paraId="2CF2B18B" w14:textId="77777777" w:rsidR="00F66955" w:rsidRPr="00EA2BB7" w:rsidRDefault="00F66955" w:rsidP="000F7F00">
      <w:pPr>
        <w:pStyle w:val="Text"/>
        <w:ind w:firstLine="0"/>
        <w:rPr>
          <w:sz w:val="18"/>
          <w:szCs w:val="18"/>
        </w:rPr>
      </w:pPr>
    </w:p>
    <w:p w14:paraId="7591FDE1" w14:textId="77777777" w:rsidR="00F66955" w:rsidRPr="00EA2BB7" w:rsidRDefault="00F66955" w:rsidP="000F7F00">
      <w:pPr>
        <w:pStyle w:val="Text"/>
        <w:ind w:firstLine="0"/>
        <w:rPr>
          <w:sz w:val="18"/>
          <w:szCs w:val="18"/>
        </w:rPr>
      </w:pPr>
    </w:p>
    <w:p w14:paraId="7CC59F83" w14:textId="77777777" w:rsidR="00F66955" w:rsidRPr="00EA2BB7" w:rsidRDefault="00F66955" w:rsidP="000F7F00">
      <w:pPr>
        <w:pStyle w:val="Text"/>
        <w:ind w:firstLine="0"/>
        <w:rPr>
          <w:sz w:val="18"/>
          <w:szCs w:val="18"/>
        </w:rPr>
      </w:pPr>
    </w:p>
    <w:p w14:paraId="448571AE" w14:textId="77777777" w:rsidR="00F66955" w:rsidRPr="00EA2BB7" w:rsidRDefault="00F66955" w:rsidP="000F7F00">
      <w:pPr>
        <w:pStyle w:val="Text"/>
        <w:ind w:firstLine="0"/>
        <w:rPr>
          <w:sz w:val="18"/>
          <w:szCs w:val="18"/>
        </w:rPr>
      </w:pPr>
    </w:p>
    <w:p w14:paraId="4E66FB40" w14:textId="77777777" w:rsidR="00F66955" w:rsidRPr="00EA2BB7" w:rsidRDefault="00F66955" w:rsidP="000F7F00">
      <w:pPr>
        <w:pStyle w:val="Text"/>
        <w:ind w:firstLine="0"/>
        <w:rPr>
          <w:sz w:val="18"/>
          <w:szCs w:val="18"/>
        </w:rPr>
      </w:pPr>
    </w:p>
    <w:p w14:paraId="5FC19453" w14:textId="77777777" w:rsidR="00F66955" w:rsidRPr="00EA2BB7" w:rsidRDefault="00F66955" w:rsidP="000F7F00">
      <w:pPr>
        <w:pStyle w:val="Text"/>
        <w:ind w:firstLine="0"/>
        <w:rPr>
          <w:sz w:val="18"/>
          <w:szCs w:val="18"/>
        </w:rPr>
      </w:pPr>
    </w:p>
    <w:p w14:paraId="20641855" w14:textId="77777777" w:rsidR="00F66955" w:rsidRPr="00EA2BB7" w:rsidRDefault="00F66955" w:rsidP="000F7F00">
      <w:pPr>
        <w:pStyle w:val="Text"/>
        <w:ind w:firstLine="0"/>
        <w:rPr>
          <w:sz w:val="18"/>
          <w:szCs w:val="18"/>
        </w:rPr>
      </w:pPr>
    </w:p>
    <w:p w14:paraId="5A8D2D8B" w14:textId="77777777" w:rsidR="00F66955" w:rsidRPr="00EA2BB7" w:rsidRDefault="00F66955" w:rsidP="000F7F00">
      <w:pPr>
        <w:pStyle w:val="Text"/>
        <w:ind w:firstLine="0"/>
        <w:rPr>
          <w:sz w:val="18"/>
          <w:szCs w:val="18"/>
        </w:rPr>
      </w:pPr>
    </w:p>
    <w:p w14:paraId="4B4F34E1" w14:textId="368F19C4" w:rsidR="003B6C92" w:rsidRPr="003B6C92" w:rsidRDefault="000F7F00" w:rsidP="003B6C92">
      <w:pPr>
        <w:pStyle w:val="Figures"/>
      </w:pPr>
      <w:r w:rsidRPr="00EA2BB7">
        <w:t xml:space="preserve">Fig. </w:t>
      </w:r>
      <w:r w:rsidR="006F4EFC" w:rsidRPr="00EA2BB7">
        <w:t>6</w:t>
      </w:r>
      <w:r w:rsidRPr="00EA2BB7">
        <w:t xml:space="preserve">.  Various predicted properties for </w:t>
      </w:r>
      <w:proofErr w:type="spellStart"/>
      <w:r w:rsidRPr="00EA2BB7">
        <w:t>laccaic</w:t>
      </w:r>
      <w:proofErr w:type="spellEnd"/>
      <w:r w:rsidRPr="00EA2BB7">
        <w:t xml:space="preserve"> acid (general </w:t>
      </w:r>
      <w:r w:rsidRPr="003B6C92">
        <w:t>physicochemical</w:t>
      </w:r>
      <w:r w:rsidRPr="00EA2BB7">
        <w:t xml:space="preserve"> properties, lipophilicity, water solubility, pharmacokinetics, drug</w:t>
      </w:r>
      <w:r w:rsidR="0092083C">
        <w:t>-</w:t>
      </w:r>
      <w:r w:rsidRPr="00EA2BB7">
        <w:t xml:space="preserve">likeness and medicinal chemistry characterization), </w:t>
      </w:r>
      <w:r w:rsidR="00EB5CF3" w:rsidRPr="00C714FA">
        <w:t>generated</w:t>
      </w:r>
      <w:r w:rsidRPr="00C714FA">
        <w:t xml:space="preserve"> </w:t>
      </w:r>
      <w:r w:rsidRPr="00EA2BB7">
        <w:t xml:space="preserve">by the </w:t>
      </w:r>
      <w:proofErr w:type="spellStart"/>
      <w:r w:rsidRPr="00EA2BB7">
        <w:t>SwissADME</w:t>
      </w:r>
      <w:proofErr w:type="spellEnd"/>
      <w:r w:rsidRPr="00EA2BB7">
        <w:t xml:space="preserve"> web-server. </w:t>
      </w:r>
    </w:p>
    <w:p w14:paraId="46C794DF" w14:textId="68806439" w:rsidR="00B012F0" w:rsidRDefault="00B012F0" w:rsidP="003B6C92">
      <w:pPr>
        <w:pStyle w:val="Text"/>
      </w:pPr>
      <w:r w:rsidRPr="003B6C92">
        <w:lastRenderedPageBreak/>
        <w:t xml:space="preserve">Our predictions cover a number of important molecular characteristics, spanning </w:t>
      </w:r>
      <w:r w:rsidR="008768E5" w:rsidRPr="003B6C92">
        <w:t>lipophilicity</w:t>
      </w:r>
      <w:r w:rsidRPr="003B6C92">
        <w:t xml:space="preserve"> and water solubility, which </w:t>
      </w:r>
      <w:r w:rsidR="005F308B" w:rsidRPr="003B6C92">
        <w:t>influence</w:t>
      </w:r>
      <w:r w:rsidRPr="003B6C92">
        <w:t xml:space="preserve"> both gastro-intestinal</w:t>
      </w:r>
      <w:r w:rsidR="00C714FA" w:rsidRPr="003B6C92">
        <w:t xml:space="preserve"> </w:t>
      </w:r>
      <w:r w:rsidR="00C46F64" w:rsidRPr="003B6C92">
        <w:t>(G.I.)</w:t>
      </w:r>
      <w:r w:rsidRPr="003B6C92">
        <w:t xml:space="preserve"> absorption and cell membrane penetration of the evaluated compounds, various pharmacokinetic parameters such as the affinity for the cytochrome P complex, essential for drug metabolism</w:t>
      </w:r>
      <w:r w:rsidR="005F308B" w:rsidRPr="003B6C92">
        <w:t xml:space="preserve"> and</w:t>
      </w:r>
      <w:r w:rsidRPr="003B6C92">
        <w:t xml:space="preserve"> possible drug</w:t>
      </w:r>
      <w:r w:rsidR="005F308B" w:rsidRPr="003B6C92">
        <w:t>-drug</w:t>
      </w:r>
      <w:r w:rsidRPr="003B6C92">
        <w:t xml:space="preserve"> interaction  and blood-brain-barrier penetration</w:t>
      </w:r>
      <w:r w:rsidR="00C714FA" w:rsidRPr="003B6C92">
        <w:t xml:space="preserve"> </w:t>
      </w:r>
      <w:r w:rsidR="00C46F64" w:rsidRPr="003B6C92">
        <w:t>(B.B.B.)</w:t>
      </w:r>
      <w:r w:rsidRPr="003B6C92">
        <w:t>, which is especially relevant in the case of pharmacological intervention in neuronal pathologies.</w:t>
      </w:r>
      <w:r w:rsidR="005F308B" w:rsidRPr="003B6C92">
        <w:t xml:space="preserve"> We also evaluate </w:t>
      </w:r>
      <w:r w:rsidR="008768E5" w:rsidRPr="003B6C92">
        <w:t>drug</w:t>
      </w:r>
      <w:r w:rsidR="0092083C">
        <w:t>-</w:t>
      </w:r>
      <w:r w:rsidR="008768E5" w:rsidRPr="003B6C92">
        <w:t>likeness</w:t>
      </w:r>
      <w:r w:rsidR="005F308B" w:rsidRPr="003B6C92">
        <w:t xml:space="preserve"> – the similarity between our compounds and other compounds already classified as drugs. Finally, we evaluate the </w:t>
      </w:r>
      <w:r w:rsidR="008768E5" w:rsidRPr="003B6C92">
        <w:t>possibility</w:t>
      </w:r>
      <w:r w:rsidR="005F308B" w:rsidRPr="003B6C92">
        <w:t xml:space="preserve"> of our compounds </w:t>
      </w:r>
      <w:r w:rsidR="00C46F64" w:rsidRPr="003B6C92">
        <w:t xml:space="preserve">could </w:t>
      </w:r>
      <w:r w:rsidR="005F308B" w:rsidRPr="003B6C92">
        <w:t>interfere with various assays</w:t>
      </w:r>
      <w:r w:rsidR="00C46F64" w:rsidRPr="003B6C92">
        <w:t xml:space="preserve"> (PAINS-pan-assay interference compounds)</w:t>
      </w:r>
      <w:r w:rsidR="005F308B" w:rsidRPr="003B6C92">
        <w:t xml:space="preserve">, their </w:t>
      </w:r>
      <w:r w:rsidR="008768E5" w:rsidRPr="003B6C92">
        <w:t>lead</w:t>
      </w:r>
      <w:r w:rsidR="00C061C1">
        <w:t>-</w:t>
      </w:r>
      <w:r w:rsidR="008768E5" w:rsidRPr="003B6C92">
        <w:t xml:space="preserve"> likeness</w:t>
      </w:r>
      <w:r w:rsidR="005F308B" w:rsidRPr="003B6C92">
        <w:t xml:space="preserve"> – the probability of the compounds to have therapeutic value, but with suboptimal structural characteristics, that may require further </w:t>
      </w:r>
      <w:r w:rsidR="008768E5" w:rsidRPr="003B6C92">
        <w:t>optimization</w:t>
      </w:r>
      <w:r w:rsidR="005F308B" w:rsidRPr="003B6C92">
        <w:t xml:space="preserve"> and their synthetic accessibility, an indication of how facile the compounds can be obtained by synthetic chemistry routes.</w:t>
      </w:r>
      <w:r w:rsidR="005F308B">
        <w:t xml:space="preserve">  </w:t>
      </w:r>
    </w:p>
    <w:p w14:paraId="0EB3E045" w14:textId="4C5832BA" w:rsidR="00775735" w:rsidRPr="00EA2BB7" w:rsidRDefault="00B42500" w:rsidP="003B6C92">
      <w:pPr>
        <w:pStyle w:val="Text"/>
      </w:pPr>
      <w:r w:rsidRPr="00EA2BB7">
        <w:t xml:space="preserve">Considering our results, we can conclude that </w:t>
      </w:r>
      <w:proofErr w:type="spellStart"/>
      <w:r w:rsidRPr="00EA2BB7">
        <w:t>kermesic</w:t>
      </w:r>
      <w:proofErr w:type="spellEnd"/>
      <w:r w:rsidRPr="00EA2BB7">
        <w:t xml:space="preserve"> acid is the most promising molecule that can be used for the </w:t>
      </w:r>
      <w:r w:rsidRPr="008768E5">
        <w:t>inhibition</w:t>
      </w:r>
      <w:r w:rsidRPr="00EA2BB7">
        <w:t xml:space="preserve"> of </w:t>
      </w:r>
      <w:r w:rsidRPr="008768E5">
        <w:t>alpha</w:t>
      </w:r>
      <w:r w:rsidR="00DC33A8" w:rsidRPr="008768E5">
        <w:t xml:space="preserve"> </w:t>
      </w:r>
      <w:r w:rsidRPr="008768E5">
        <w:t xml:space="preserve">synuclein </w:t>
      </w:r>
      <w:r w:rsidRPr="00EA2BB7">
        <w:t xml:space="preserve">aggregation with </w:t>
      </w:r>
      <w:r w:rsidR="00480BB3" w:rsidRPr="00EA2BB7">
        <w:t xml:space="preserve">potential </w:t>
      </w:r>
      <w:r w:rsidRPr="00EA2BB7">
        <w:t xml:space="preserve">clinical benefit – it shows the most promising ADME profile out of the three investigated candidates, with the highest </w:t>
      </w:r>
      <w:proofErr w:type="spellStart"/>
      <w:r w:rsidR="00480BB3" w:rsidRPr="00EA2BB7">
        <w:t>l</w:t>
      </w:r>
      <w:r w:rsidRPr="00EA2BB7">
        <w:t>ogP</w:t>
      </w:r>
      <w:proofErr w:type="spellEnd"/>
      <w:r w:rsidRPr="00EA2BB7">
        <w:t>, no affinity to cytochrome P450 and is not a P-glycoprotein 1 substrate</w:t>
      </w:r>
      <w:r w:rsidR="00480BB3" w:rsidRPr="00EA2BB7">
        <w:t xml:space="preserve">. </w:t>
      </w:r>
      <w:r w:rsidRPr="00EA2BB7">
        <w:t>It also has excellent synthetic accessibility and is shown to be both drug and</w:t>
      </w:r>
      <w:r w:rsidR="00A21C36" w:rsidRPr="00EA2BB7">
        <w:t xml:space="preserve"> lead-like. Also, considering that all three molecules investigated in the present study show no blood-brain-barrier penetration, which would be paramount for their potential clinical applications, the fact that </w:t>
      </w:r>
      <w:proofErr w:type="spellStart"/>
      <w:r w:rsidR="00A21C36" w:rsidRPr="00EA2BB7">
        <w:t>kermesic</w:t>
      </w:r>
      <w:proofErr w:type="spellEnd"/>
      <w:r w:rsidR="00A21C36" w:rsidRPr="00EA2BB7">
        <w:t xml:space="preserve"> acid shows lead-like properties is very important, as it would most likely require additio</w:t>
      </w:r>
      <w:r w:rsidR="001462CE" w:rsidRPr="00EA2BB7">
        <w:t xml:space="preserve">nal structural optimization. </w:t>
      </w:r>
    </w:p>
    <w:p w14:paraId="57122687" w14:textId="0FCA96DA" w:rsidR="00B42500" w:rsidRPr="00EA2BB7" w:rsidRDefault="00B42500" w:rsidP="00F03B59">
      <w:pPr>
        <w:pStyle w:val="Chapter"/>
      </w:pPr>
      <w:r w:rsidRPr="00EA2BB7">
        <w:t>CONCLUSIONS</w:t>
      </w:r>
    </w:p>
    <w:p w14:paraId="673C327B" w14:textId="6BCE83B0" w:rsidR="00775735" w:rsidRPr="00EA2BB7" w:rsidRDefault="00B42500" w:rsidP="00F03B59">
      <w:pPr>
        <w:pStyle w:val="Text"/>
      </w:pPr>
      <w:r w:rsidRPr="00EA2BB7">
        <w:t xml:space="preserve">Our </w:t>
      </w:r>
      <w:r w:rsidR="00077710" w:rsidRPr="00EA2BB7">
        <w:rPr>
          <w:i/>
        </w:rPr>
        <w:t>in silico</w:t>
      </w:r>
      <w:r w:rsidR="00077710" w:rsidRPr="00EA2BB7">
        <w:t xml:space="preserve"> </w:t>
      </w:r>
      <w:r w:rsidRPr="00EA2BB7">
        <w:t xml:space="preserve">investigation shows that </w:t>
      </w:r>
      <w:proofErr w:type="spellStart"/>
      <w:r w:rsidRPr="00EA2BB7">
        <w:t>kermesic</w:t>
      </w:r>
      <w:proofErr w:type="spellEnd"/>
      <w:r w:rsidRPr="00EA2BB7">
        <w:t xml:space="preserve"> acid, </w:t>
      </w:r>
      <w:r w:rsidR="008768E5" w:rsidRPr="00C061C1">
        <w:t>an</w:t>
      </w:r>
      <w:r w:rsidRPr="00EA2BB7">
        <w:rPr>
          <w:color w:val="FF0000"/>
        </w:rPr>
        <w:t xml:space="preserve"> </w:t>
      </w:r>
      <w:r w:rsidR="00480BB3" w:rsidRPr="00EA2BB7">
        <w:t>anthraquinone derivative</w:t>
      </w:r>
      <w:r w:rsidRPr="00EA2BB7">
        <w:t>, has good potent</w:t>
      </w:r>
      <w:r w:rsidR="00BF3D62" w:rsidRPr="00EA2BB7">
        <w:t xml:space="preserve">ial for the inhibition of alpha </w:t>
      </w:r>
      <w:r w:rsidRPr="00EA2BB7">
        <w:t>synuclein aggregation, a hallmark of Parkinson’</w:t>
      </w:r>
      <w:r w:rsidR="00077710" w:rsidRPr="00EA2BB7">
        <w:t xml:space="preserve">s disease. Further, we show that </w:t>
      </w:r>
      <w:proofErr w:type="spellStart"/>
      <w:r w:rsidR="00077710" w:rsidRPr="00EA2BB7">
        <w:t>kermesic</w:t>
      </w:r>
      <w:proofErr w:type="spellEnd"/>
      <w:r w:rsidR="00077710" w:rsidRPr="00EA2BB7">
        <w:t xml:space="preserve"> acid has a</w:t>
      </w:r>
      <w:r w:rsidR="00C90B55" w:rsidRPr="00EA2BB7">
        <w:t>n</w:t>
      </w:r>
      <w:r w:rsidR="00077710" w:rsidRPr="00EA2BB7">
        <w:t xml:space="preserve"> advantageous </w:t>
      </w:r>
      <w:r w:rsidR="00EA2BB7" w:rsidRPr="008768E5">
        <w:t>absorption</w:t>
      </w:r>
      <w:r w:rsidR="00C90B55" w:rsidRPr="00EA2BB7">
        <w:t>, distribution and excretion</w:t>
      </w:r>
      <w:r w:rsidR="00077710" w:rsidRPr="00EA2BB7">
        <w:t xml:space="preserve"> profile and drug-like and lead-like properties. We surmise that further experimental investigation is necessary, to confirm and possibly extend our predictions. </w:t>
      </w:r>
    </w:p>
    <w:p w14:paraId="4E770BBF" w14:textId="162192A5" w:rsidR="00442ABC" w:rsidRPr="00EA2BB7" w:rsidRDefault="00C762DE" w:rsidP="00F03B59">
      <w:pPr>
        <w:pStyle w:val="Referencestitle"/>
      </w:pPr>
      <w:r w:rsidRPr="00EA2BB7">
        <w:t>references</w:t>
      </w:r>
    </w:p>
    <w:p w14:paraId="5CBF4245" w14:textId="2DB5C512" w:rsidR="0092083C" w:rsidRPr="00E11889" w:rsidRDefault="0092083C" w:rsidP="00A45CAD">
      <w:pPr>
        <w:pStyle w:val="Referenceslist"/>
      </w:pPr>
      <w:r w:rsidRPr="00E11889">
        <w:t xml:space="preserve">BENDOR, J.T., T.P. LOGAN, R.H. EDWARDS, The </w:t>
      </w:r>
      <w:r w:rsidRPr="00A45CAD">
        <w:t>function</w:t>
      </w:r>
      <w:r w:rsidRPr="00E11889">
        <w:t xml:space="preserve"> of α-synuclein, </w:t>
      </w:r>
      <w:r w:rsidRPr="00E11889">
        <w:rPr>
          <w:i/>
          <w:iCs/>
        </w:rPr>
        <w:t>Neuron</w:t>
      </w:r>
      <w:r w:rsidRPr="00E11889">
        <w:t xml:space="preserve">, </w:t>
      </w:r>
      <w:r w:rsidRPr="00E11889">
        <w:rPr>
          <w:bCs/>
        </w:rPr>
        <w:t>2013</w:t>
      </w:r>
      <w:r w:rsidRPr="00E11889">
        <w:t xml:space="preserve">, </w:t>
      </w:r>
      <w:r w:rsidRPr="00E11889">
        <w:rPr>
          <w:b/>
        </w:rPr>
        <w:t>79</w:t>
      </w:r>
      <w:r w:rsidRPr="00E11889">
        <w:rPr>
          <w:bCs/>
        </w:rPr>
        <w:t>(6),</w:t>
      </w:r>
      <w:r w:rsidRPr="00E11889">
        <w:t xml:space="preserve"> 1044–1066. </w:t>
      </w:r>
    </w:p>
    <w:p w14:paraId="11968DF0" w14:textId="679651D0" w:rsidR="002512A9" w:rsidRPr="00E11889" w:rsidRDefault="002512A9" w:rsidP="000829DF">
      <w:pPr>
        <w:pStyle w:val="Referenceslist"/>
      </w:pPr>
      <w:r w:rsidRPr="00E11889">
        <w:t>DETTMER, U.</w:t>
      </w:r>
      <w:r w:rsidR="00131947" w:rsidRPr="00E11889">
        <w:t>,</w:t>
      </w:r>
      <w:r w:rsidRPr="00E11889">
        <w:t xml:space="preserve"> </w:t>
      </w:r>
      <w:r w:rsidR="00131947" w:rsidRPr="00E11889">
        <w:t>A.J</w:t>
      </w:r>
      <w:r w:rsidR="00F87073">
        <w:t>.</w:t>
      </w:r>
      <w:r w:rsidR="00131947" w:rsidRPr="00E11889">
        <w:t xml:space="preserve"> </w:t>
      </w:r>
      <w:r w:rsidRPr="00E11889">
        <w:t xml:space="preserve">NEWMAN, </w:t>
      </w:r>
      <w:r w:rsidR="00131947" w:rsidRPr="00E11889">
        <w:t>V.E.</w:t>
      </w:r>
      <w:r w:rsidR="00F96143" w:rsidRPr="00E11889">
        <w:t xml:space="preserve"> </w:t>
      </w:r>
      <w:r w:rsidRPr="00E11889">
        <w:t xml:space="preserve">VON SAUCKEN, </w:t>
      </w:r>
      <w:r w:rsidR="00131947" w:rsidRPr="00E11889">
        <w:t xml:space="preserve">T. </w:t>
      </w:r>
      <w:r w:rsidRPr="00E11889">
        <w:t>BARTELS</w:t>
      </w:r>
      <w:r w:rsidR="00131947" w:rsidRPr="00E11889">
        <w:t>,</w:t>
      </w:r>
      <w:r w:rsidRPr="00E11889">
        <w:t xml:space="preserve"> </w:t>
      </w:r>
      <w:r w:rsidR="00131947" w:rsidRPr="00E11889">
        <w:t xml:space="preserve">D. </w:t>
      </w:r>
      <w:r w:rsidRPr="00E11889">
        <w:t xml:space="preserve">SELKOE, KTKEGV </w:t>
      </w:r>
      <w:r w:rsidR="00131947" w:rsidRPr="00E11889">
        <w:t>r</w:t>
      </w:r>
      <w:r w:rsidR="006C0B1F" w:rsidRPr="00E11889">
        <w:t>epeat motifs are key mediators of normal α-synuclein tetramerization: their mutation causes excess monomers and neurotoxicity</w:t>
      </w:r>
      <w:r w:rsidR="00131947" w:rsidRPr="00E11889">
        <w:t>,</w:t>
      </w:r>
      <w:r w:rsidRPr="00E11889">
        <w:t xml:space="preserve"> </w:t>
      </w:r>
      <w:r w:rsidRPr="00E11889">
        <w:rPr>
          <w:i/>
          <w:iCs/>
        </w:rPr>
        <w:t>Proc</w:t>
      </w:r>
      <w:r w:rsidR="00F03B59" w:rsidRPr="00E11889">
        <w:rPr>
          <w:i/>
          <w:iCs/>
        </w:rPr>
        <w:t>.</w:t>
      </w:r>
      <w:r w:rsidRPr="00E11889">
        <w:rPr>
          <w:i/>
          <w:iCs/>
        </w:rPr>
        <w:t xml:space="preserve"> Natl</w:t>
      </w:r>
      <w:r w:rsidR="00F03B59" w:rsidRPr="00E11889">
        <w:rPr>
          <w:i/>
          <w:iCs/>
        </w:rPr>
        <w:t>.</w:t>
      </w:r>
      <w:r w:rsidRPr="00E11889">
        <w:rPr>
          <w:i/>
          <w:iCs/>
        </w:rPr>
        <w:t xml:space="preserve"> Acad</w:t>
      </w:r>
      <w:r w:rsidR="00F03B59" w:rsidRPr="00E11889">
        <w:rPr>
          <w:i/>
          <w:iCs/>
        </w:rPr>
        <w:t>.</w:t>
      </w:r>
      <w:r w:rsidRPr="00E11889">
        <w:rPr>
          <w:i/>
          <w:iCs/>
        </w:rPr>
        <w:t xml:space="preserve"> Sci</w:t>
      </w:r>
      <w:r w:rsidR="00F03B59" w:rsidRPr="00E11889">
        <w:rPr>
          <w:i/>
          <w:iCs/>
        </w:rPr>
        <w:t>.</w:t>
      </w:r>
      <w:r w:rsidRPr="00E11889">
        <w:rPr>
          <w:i/>
          <w:iCs/>
        </w:rPr>
        <w:t xml:space="preserve"> USA</w:t>
      </w:r>
      <w:r w:rsidR="004A05EB" w:rsidRPr="00E11889">
        <w:t>,</w:t>
      </w:r>
      <w:r w:rsidRPr="00E11889">
        <w:t xml:space="preserve"> </w:t>
      </w:r>
      <w:r w:rsidRPr="00E11889">
        <w:rPr>
          <w:bCs/>
        </w:rPr>
        <w:t>2015</w:t>
      </w:r>
      <w:r w:rsidRPr="00E11889">
        <w:t xml:space="preserve">, </w:t>
      </w:r>
      <w:r w:rsidRPr="00E11889">
        <w:rPr>
          <w:b/>
        </w:rPr>
        <w:t>112</w:t>
      </w:r>
      <w:r w:rsidRPr="00E11889">
        <w:rPr>
          <w:bCs/>
        </w:rPr>
        <w:t>(31)</w:t>
      </w:r>
      <w:r w:rsidRPr="00E11889">
        <w:t>,</w:t>
      </w:r>
      <w:r w:rsidR="00F96143" w:rsidRPr="00E11889">
        <w:t xml:space="preserve"> </w:t>
      </w:r>
      <w:r w:rsidRPr="00E11889">
        <w:t xml:space="preserve">9596–9601. </w:t>
      </w:r>
    </w:p>
    <w:p w14:paraId="57CFE4DC" w14:textId="0CCD8510" w:rsidR="002512A9" w:rsidRPr="00E11889" w:rsidRDefault="002512A9" w:rsidP="00A45CAD">
      <w:pPr>
        <w:pStyle w:val="Referenceslist"/>
      </w:pPr>
      <w:r w:rsidRPr="00E11889">
        <w:lastRenderedPageBreak/>
        <w:t>DOHERTY, C.P.A.</w:t>
      </w:r>
      <w:r w:rsidR="00F236CF" w:rsidRPr="00E11889">
        <w:t>,</w:t>
      </w:r>
      <w:r w:rsidRPr="00E11889">
        <w:t xml:space="preserve"> </w:t>
      </w:r>
      <w:r w:rsidR="00131947" w:rsidRPr="00E11889">
        <w:t xml:space="preserve">S.M. </w:t>
      </w:r>
      <w:r w:rsidRPr="00E11889">
        <w:t>ULAMEC,</w:t>
      </w:r>
      <w:r w:rsidR="00131947" w:rsidRPr="00E11889">
        <w:t xml:space="preserve"> R.</w:t>
      </w:r>
      <w:r w:rsidRPr="00E11889">
        <w:t xml:space="preserve"> MAYA-MARTINEZ, </w:t>
      </w:r>
      <w:r w:rsidR="00131947" w:rsidRPr="00E11889">
        <w:t xml:space="preserve">S.C. </w:t>
      </w:r>
      <w:r w:rsidRPr="00E11889">
        <w:t xml:space="preserve">GOOD, </w:t>
      </w:r>
      <w:r w:rsidR="00131947" w:rsidRPr="00E11889">
        <w:t xml:space="preserve">J. </w:t>
      </w:r>
      <w:r w:rsidRPr="00E11889">
        <w:t xml:space="preserve">MAKEPEACE, </w:t>
      </w:r>
      <w:r w:rsidR="00131947" w:rsidRPr="00E11889">
        <w:t xml:space="preserve">G.N. </w:t>
      </w:r>
      <w:r w:rsidRPr="00E11889">
        <w:t>KHAN,</w:t>
      </w:r>
      <w:r w:rsidR="00131947" w:rsidRPr="00E11889">
        <w:t xml:space="preserve"> P.</w:t>
      </w:r>
      <w:r w:rsidRPr="00E11889">
        <w:t xml:space="preserve"> VAN OOSTEN-HAWLE, </w:t>
      </w:r>
      <w:r w:rsidR="00131947" w:rsidRPr="00E11889">
        <w:t xml:space="preserve">S.E. </w:t>
      </w:r>
      <w:r w:rsidRPr="00E11889">
        <w:t xml:space="preserve">RADFORD, </w:t>
      </w:r>
      <w:r w:rsidR="00131947" w:rsidRPr="00E11889">
        <w:t xml:space="preserve">D.J. </w:t>
      </w:r>
      <w:r w:rsidRPr="00E11889">
        <w:t xml:space="preserve">BROCKWELL, A </w:t>
      </w:r>
      <w:r w:rsidR="006C0B1F" w:rsidRPr="00E11889">
        <w:t>short motif in the N-terminal region of α-synuclein is critical for both aggregation and function</w:t>
      </w:r>
      <w:r w:rsidR="00F236CF" w:rsidRPr="00E11889">
        <w:t>,</w:t>
      </w:r>
      <w:r w:rsidRPr="00E11889">
        <w:t xml:space="preserve"> </w:t>
      </w:r>
      <w:r w:rsidRPr="00E11889">
        <w:rPr>
          <w:i/>
          <w:iCs/>
        </w:rPr>
        <w:t>Nature Structural &amp; Molecular Biology</w:t>
      </w:r>
      <w:r w:rsidR="00131947" w:rsidRPr="00E11889">
        <w:t xml:space="preserve">, </w:t>
      </w:r>
      <w:r w:rsidRPr="00E11889">
        <w:rPr>
          <w:bCs/>
        </w:rPr>
        <w:t>2020</w:t>
      </w:r>
      <w:r w:rsidRPr="00E11889">
        <w:t xml:space="preserve">, </w:t>
      </w:r>
      <w:r w:rsidRPr="00E11889">
        <w:rPr>
          <w:b/>
        </w:rPr>
        <w:t>27</w:t>
      </w:r>
      <w:r w:rsidRPr="00E11889">
        <w:rPr>
          <w:bCs/>
        </w:rPr>
        <w:t>(3)</w:t>
      </w:r>
      <w:r w:rsidRPr="00E11889">
        <w:t xml:space="preserve">, 249–259. </w:t>
      </w:r>
    </w:p>
    <w:p w14:paraId="5D8BC05C" w14:textId="3EEAD489" w:rsidR="002512A9" w:rsidRPr="00E11889" w:rsidRDefault="002512A9" w:rsidP="00A45CAD">
      <w:pPr>
        <w:pStyle w:val="Referenceslist"/>
      </w:pPr>
      <w:r w:rsidRPr="00E11889">
        <w:t>HOYER, W.</w:t>
      </w:r>
      <w:r w:rsidR="009F0187">
        <w:t xml:space="preserve">, </w:t>
      </w:r>
      <w:r w:rsidR="00131947" w:rsidRPr="00E11889">
        <w:t xml:space="preserve">D. </w:t>
      </w:r>
      <w:r w:rsidRPr="00E11889">
        <w:t xml:space="preserve">CHERNY, </w:t>
      </w:r>
      <w:r w:rsidR="00131947" w:rsidRPr="00E11889">
        <w:t xml:space="preserve">V. </w:t>
      </w:r>
      <w:r w:rsidRPr="00E11889">
        <w:t xml:space="preserve">SUBRAMANIAM, </w:t>
      </w:r>
      <w:r w:rsidR="00131947" w:rsidRPr="00E11889">
        <w:t xml:space="preserve">T.M. </w:t>
      </w:r>
      <w:r w:rsidRPr="00E11889">
        <w:t xml:space="preserve">JOVIN, </w:t>
      </w:r>
      <w:r w:rsidR="006C0B1F" w:rsidRPr="00E11889">
        <w:t>Impact of the  C-terminal region comprising amino acids 109−140 on α-synuclein aggregation</w:t>
      </w:r>
      <w:r w:rsidRPr="00E11889">
        <w:t xml:space="preserve"> </w:t>
      </w:r>
      <w:r w:rsidRPr="00E11889">
        <w:rPr>
          <w:i/>
          <w:iCs/>
        </w:rPr>
        <w:t xml:space="preserve">in </w:t>
      </w:r>
      <w:r w:rsidR="008252C6" w:rsidRPr="00E11889">
        <w:rPr>
          <w:i/>
          <w:iCs/>
        </w:rPr>
        <w:t>v</w:t>
      </w:r>
      <w:r w:rsidRPr="00E11889">
        <w:rPr>
          <w:i/>
          <w:iCs/>
        </w:rPr>
        <w:t>itro</w:t>
      </w:r>
      <w:r w:rsidR="005B7715" w:rsidRPr="00E11889">
        <w:t>,</w:t>
      </w:r>
      <w:r w:rsidRPr="00E11889">
        <w:t xml:space="preserve"> </w:t>
      </w:r>
      <w:r w:rsidRPr="00E11889">
        <w:rPr>
          <w:i/>
          <w:iCs/>
        </w:rPr>
        <w:t>Biochemistry</w:t>
      </w:r>
      <w:r w:rsidR="005B7715" w:rsidRPr="00E11889">
        <w:rPr>
          <w:i/>
          <w:iCs/>
        </w:rPr>
        <w:t>,</w:t>
      </w:r>
      <w:r w:rsidRPr="00E11889">
        <w:t xml:space="preserve"> </w:t>
      </w:r>
      <w:r w:rsidRPr="00E11889">
        <w:rPr>
          <w:bCs/>
        </w:rPr>
        <w:t>2004</w:t>
      </w:r>
      <w:r w:rsidRPr="00E11889">
        <w:t xml:space="preserve">, </w:t>
      </w:r>
      <w:r w:rsidRPr="00E11889">
        <w:rPr>
          <w:b/>
        </w:rPr>
        <w:t>43</w:t>
      </w:r>
      <w:r w:rsidRPr="00E11889">
        <w:rPr>
          <w:bCs/>
        </w:rPr>
        <w:t>(51),</w:t>
      </w:r>
      <w:r w:rsidRPr="00E11889">
        <w:t xml:space="preserve"> 16233–16242. </w:t>
      </w:r>
    </w:p>
    <w:p w14:paraId="555F6D9A" w14:textId="448D936D" w:rsidR="002512A9" w:rsidRPr="00E11889" w:rsidRDefault="002512A9" w:rsidP="00A45CAD">
      <w:pPr>
        <w:pStyle w:val="Referenceslist"/>
      </w:pPr>
      <w:r w:rsidRPr="00E11889">
        <w:t>IYER, A.</w:t>
      </w:r>
      <w:r w:rsidR="00D86D24" w:rsidRPr="00E11889">
        <w:t>,</w:t>
      </w:r>
      <w:r w:rsidRPr="00E11889">
        <w:t xml:space="preserve"> </w:t>
      </w:r>
      <w:r w:rsidR="005B7715" w:rsidRPr="00E11889">
        <w:t xml:space="preserve">M.M.A.E. </w:t>
      </w:r>
      <w:r w:rsidRPr="00E11889">
        <w:t xml:space="preserve">CLAESSENS, </w:t>
      </w:r>
      <w:r w:rsidR="006C0B1F" w:rsidRPr="00E11889">
        <w:t>Disruptive membrane interactions of alpha-synuclein aggregates</w:t>
      </w:r>
      <w:r w:rsidR="005B7715" w:rsidRPr="00E11889">
        <w:t xml:space="preserve">, </w:t>
      </w:r>
      <w:proofErr w:type="spellStart"/>
      <w:r w:rsidRPr="00E11889">
        <w:rPr>
          <w:i/>
          <w:iCs/>
        </w:rPr>
        <w:t>Biochimica</w:t>
      </w:r>
      <w:proofErr w:type="spellEnd"/>
      <w:r w:rsidRPr="00E11889">
        <w:rPr>
          <w:i/>
          <w:iCs/>
        </w:rPr>
        <w:t xml:space="preserve"> et </w:t>
      </w:r>
      <w:proofErr w:type="spellStart"/>
      <w:r w:rsidRPr="00E11889">
        <w:rPr>
          <w:i/>
          <w:iCs/>
        </w:rPr>
        <w:t>Biophysica</w:t>
      </w:r>
      <w:proofErr w:type="spellEnd"/>
      <w:r w:rsidRPr="00E11889">
        <w:rPr>
          <w:i/>
          <w:iCs/>
        </w:rPr>
        <w:t xml:space="preserve"> Acta (BBA) Proteins and Proteomics</w:t>
      </w:r>
      <w:r w:rsidR="005B7715" w:rsidRPr="00E11889">
        <w:rPr>
          <w:i/>
          <w:iCs/>
        </w:rPr>
        <w:t>,</w:t>
      </w:r>
      <w:r w:rsidRPr="00E11889">
        <w:t xml:space="preserve"> </w:t>
      </w:r>
      <w:r w:rsidRPr="00E11889">
        <w:rPr>
          <w:bCs/>
        </w:rPr>
        <w:t>2019</w:t>
      </w:r>
      <w:r w:rsidRPr="00E11889">
        <w:t xml:space="preserve">, </w:t>
      </w:r>
      <w:r w:rsidRPr="00E11889">
        <w:rPr>
          <w:b/>
        </w:rPr>
        <w:t>1867</w:t>
      </w:r>
      <w:r w:rsidRPr="00E11889">
        <w:rPr>
          <w:bCs/>
        </w:rPr>
        <w:t>(5)</w:t>
      </w:r>
      <w:r w:rsidRPr="00E11889">
        <w:t>, 468–482.</w:t>
      </w:r>
    </w:p>
    <w:p w14:paraId="48FC812A" w14:textId="147C2EB4" w:rsidR="002512A9" w:rsidRPr="00E11889" w:rsidRDefault="002512A9" w:rsidP="00A45CAD">
      <w:pPr>
        <w:pStyle w:val="Referenceslist"/>
      </w:pPr>
      <w:r w:rsidRPr="00E11889">
        <w:t>JOHANSSON, M.U.</w:t>
      </w:r>
      <w:r w:rsidR="005B7715" w:rsidRPr="00E11889">
        <w:t>, V.</w:t>
      </w:r>
      <w:r w:rsidR="009F0187">
        <w:t xml:space="preserve"> </w:t>
      </w:r>
      <w:r w:rsidRPr="00E11889">
        <w:t>ZOETE,</w:t>
      </w:r>
      <w:r w:rsidR="005B7715" w:rsidRPr="00E11889">
        <w:t xml:space="preserve"> O.</w:t>
      </w:r>
      <w:r w:rsidR="009F0187">
        <w:t xml:space="preserve"> </w:t>
      </w:r>
      <w:r w:rsidRPr="00E11889">
        <w:t xml:space="preserve">MICHIELIN, </w:t>
      </w:r>
      <w:r w:rsidR="005B7715" w:rsidRPr="00E11889">
        <w:t>N.</w:t>
      </w:r>
      <w:r w:rsidR="009F0187">
        <w:t xml:space="preserve"> </w:t>
      </w:r>
      <w:r w:rsidRPr="00E11889">
        <w:t xml:space="preserve">GUEX, </w:t>
      </w:r>
      <w:r w:rsidR="006C0B1F" w:rsidRPr="00E11889">
        <w:t>Defining and searching for structural motifs using</w:t>
      </w:r>
      <w:r w:rsidRPr="00E11889">
        <w:t xml:space="preserve"> </w:t>
      </w:r>
      <w:proofErr w:type="spellStart"/>
      <w:r w:rsidRPr="00E11889">
        <w:t>DeepView</w:t>
      </w:r>
      <w:proofErr w:type="spellEnd"/>
      <w:r w:rsidRPr="00E11889">
        <w:t>/Swiss-</w:t>
      </w:r>
      <w:proofErr w:type="spellStart"/>
      <w:r w:rsidRPr="00E11889">
        <w:t>PdbViewer</w:t>
      </w:r>
      <w:proofErr w:type="spellEnd"/>
      <w:r w:rsidR="005B7715" w:rsidRPr="00E11889">
        <w:t>,</w:t>
      </w:r>
      <w:r w:rsidRPr="00E11889">
        <w:t xml:space="preserve"> </w:t>
      </w:r>
      <w:r w:rsidRPr="00A45CAD">
        <w:rPr>
          <w:i/>
          <w:iCs/>
        </w:rPr>
        <w:t>BMC Bioinformatics</w:t>
      </w:r>
      <w:r w:rsidR="005B7715" w:rsidRPr="00A45CAD">
        <w:rPr>
          <w:i/>
          <w:iCs/>
        </w:rPr>
        <w:t>,</w:t>
      </w:r>
      <w:r w:rsidRPr="00E11889">
        <w:t xml:space="preserve"> 2012, </w:t>
      </w:r>
      <w:r w:rsidRPr="00E11889">
        <w:rPr>
          <w:b/>
        </w:rPr>
        <w:t>13</w:t>
      </w:r>
      <w:r w:rsidRPr="00E11889">
        <w:rPr>
          <w:bCs/>
        </w:rPr>
        <w:t>(1)</w:t>
      </w:r>
      <w:r w:rsidRPr="00E11889">
        <w:t>, 173</w:t>
      </w:r>
      <w:r w:rsidR="00C52033" w:rsidRPr="00E11889">
        <w:t>-183</w:t>
      </w:r>
      <w:r w:rsidRPr="00E11889">
        <w:t xml:space="preserve">. </w:t>
      </w:r>
    </w:p>
    <w:p w14:paraId="306DC328" w14:textId="7F64D6B7" w:rsidR="00FE3119" w:rsidRPr="00E11889" w:rsidRDefault="002512A9" w:rsidP="00A45CAD">
      <w:pPr>
        <w:pStyle w:val="Referenceslist"/>
      </w:pPr>
      <w:r w:rsidRPr="00E11889">
        <w:t>KURNIK, M.</w:t>
      </w:r>
      <w:r w:rsidR="00223C87" w:rsidRPr="00E11889">
        <w:t>,</w:t>
      </w:r>
      <w:r w:rsidRPr="00E11889">
        <w:t xml:space="preserve"> </w:t>
      </w:r>
      <w:r w:rsidR="005B7715" w:rsidRPr="00E11889">
        <w:t xml:space="preserve">C. </w:t>
      </w:r>
      <w:r w:rsidRPr="00E11889">
        <w:t xml:space="preserve">SAHIN, </w:t>
      </w:r>
      <w:r w:rsidR="005B7715" w:rsidRPr="00E11889">
        <w:t xml:space="preserve">C.B. </w:t>
      </w:r>
      <w:r w:rsidRPr="00E11889">
        <w:t xml:space="preserve">ANDERSEN, </w:t>
      </w:r>
      <w:r w:rsidR="005B7715" w:rsidRPr="00E11889">
        <w:t xml:space="preserve">N. </w:t>
      </w:r>
      <w:r w:rsidRPr="00E11889">
        <w:t>LORENZEN</w:t>
      </w:r>
      <w:r w:rsidR="00223C87" w:rsidRPr="00E11889">
        <w:t>,</w:t>
      </w:r>
      <w:r w:rsidRPr="00E11889">
        <w:t xml:space="preserve"> </w:t>
      </w:r>
      <w:r w:rsidR="005B7715" w:rsidRPr="00E11889">
        <w:t xml:space="preserve">L. </w:t>
      </w:r>
      <w:r w:rsidRPr="00E11889">
        <w:t xml:space="preserve">GIEHM, </w:t>
      </w:r>
      <w:r w:rsidR="005B7715" w:rsidRPr="00E11889">
        <w:t xml:space="preserve">H. </w:t>
      </w:r>
      <w:r w:rsidRPr="00E11889">
        <w:t xml:space="preserve">MOHAMMAD-BEIGI, </w:t>
      </w:r>
      <w:r w:rsidR="005B7715" w:rsidRPr="00E11889">
        <w:t xml:space="preserve">C.M. </w:t>
      </w:r>
      <w:r w:rsidRPr="00E11889">
        <w:t xml:space="preserve">JESSEN, </w:t>
      </w:r>
      <w:r w:rsidR="005B7715" w:rsidRPr="00E11889">
        <w:t xml:space="preserve">J.S. </w:t>
      </w:r>
      <w:r w:rsidRPr="00E11889">
        <w:t xml:space="preserve">PEDERSEN, </w:t>
      </w:r>
      <w:r w:rsidR="005B7715" w:rsidRPr="00E11889">
        <w:t xml:space="preserve">G. </w:t>
      </w:r>
      <w:r w:rsidRPr="00E11889">
        <w:t xml:space="preserve">CHRISTIANSEN, </w:t>
      </w:r>
      <w:r w:rsidR="005B7715" w:rsidRPr="00E11889">
        <w:t xml:space="preserve">S.V. </w:t>
      </w:r>
      <w:r w:rsidRPr="00E11889">
        <w:t xml:space="preserve">PETERSEN, </w:t>
      </w:r>
      <w:r w:rsidR="005B7715" w:rsidRPr="00E11889">
        <w:t xml:space="preserve">R. </w:t>
      </w:r>
      <w:r w:rsidRPr="00E11889">
        <w:t xml:space="preserve">STAAL, </w:t>
      </w:r>
      <w:r w:rsidR="005B7715" w:rsidRPr="00E11889">
        <w:t xml:space="preserve">G. </w:t>
      </w:r>
      <w:r w:rsidRPr="00E11889">
        <w:t>KRISHNAMURTHY,</w:t>
      </w:r>
      <w:r w:rsidR="005B7715" w:rsidRPr="00E11889">
        <w:t xml:space="preserve"> K.</w:t>
      </w:r>
      <w:r w:rsidRPr="00E11889">
        <w:t xml:space="preserve"> PITTS, </w:t>
      </w:r>
      <w:r w:rsidR="005B7715" w:rsidRPr="00E11889">
        <w:t xml:space="preserve">P.H. </w:t>
      </w:r>
      <w:r w:rsidRPr="00E11889">
        <w:t xml:space="preserve">REINHART, </w:t>
      </w:r>
      <w:r w:rsidR="005B7715" w:rsidRPr="00E11889">
        <w:t xml:space="preserve">F.A.A. </w:t>
      </w:r>
      <w:r w:rsidRPr="00E11889">
        <w:t xml:space="preserve">MULDER, </w:t>
      </w:r>
      <w:r w:rsidR="005B7715" w:rsidRPr="00E11889">
        <w:t xml:space="preserve">S. </w:t>
      </w:r>
      <w:r w:rsidRPr="00E11889">
        <w:t>MENTE,</w:t>
      </w:r>
      <w:r w:rsidR="005B7715" w:rsidRPr="00E11889">
        <w:t xml:space="preserve"> W.D.</w:t>
      </w:r>
      <w:r w:rsidRPr="00E11889">
        <w:t xml:space="preserve"> HIRST, </w:t>
      </w:r>
      <w:r w:rsidR="005B7715" w:rsidRPr="00E11889">
        <w:t xml:space="preserve">D.E. </w:t>
      </w:r>
      <w:r w:rsidRPr="00E11889">
        <w:t xml:space="preserve">OTZEN, </w:t>
      </w:r>
      <w:r w:rsidR="007D37F1" w:rsidRPr="00E11889">
        <w:t>Potent α-synuclein aggregation inhibitors, identified by high-throughput screening, mainly target the monomeric state</w:t>
      </w:r>
      <w:r w:rsidR="005B7715" w:rsidRPr="00E11889">
        <w:t>,</w:t>
      </w:r>
      <w:r w:rsidRPr="00E11889">
        <w:t xml:space="preserve"> </w:t>
      </w:r>
      <w:r w:rsidRPr="00E11889">
        <w:rPr>
          <w:i/>
          <w:iCs/>
        </w:rPr>
        <w:t>Cell Chemical Biology</w:t>
      </w:r>
      <w:r w:rsidR="005B7715" w:rsidRPr="00E11889">
        <w:rPr>
          <w:i/>
          <w:iCs/>
        </w:rPr>
        <w:t>,</w:t>
      </w:r>
      <w:r w:rsidRPr="00E11889">
        <w:t xml:space="preserve"> </w:t>
      </w:r>
      <w:r w:rsidRPr="00E11889">
        <w:rPr>
          <w:bCs/>
        </w:rPr>
        <w:t>2018</w:t>
      </w:r>
      <w:r w:rsidRPr="00E11889">
        <w:t xml:space="preserve">, </w:t>
      </w:r>
      <w:r w:rsidRPr="00E11889">
        <w:rPr>
          <w:b/>
        </w:rPr>
        <w:t>25</w:t>
      </w:r>
      <w:r w:rsidRPr="00E11889">
        <w:rPr>
          <w:bCs/>
        </w:rPr>
        <w:t>(11)</w:t>
      </w:r>
      <w:r w:rsidR="00FE3119" w:rsidRPr="00E11889">
        <w:t>, 1389</w:t>
      </w:r>
      <w:r w:rsidR="00E11889">
        <w:t>-</w:t>
      </w:r>
      <w:r w:rsidR="00FE3119" w:rsidRPr="00E11889">
        <w:t>1402.e9.</w:t>
      </w:r>
    </w:p>
    <w:p w14:paraId="41F2BFE4" w14:textId="0A3D46B7" w:rsidR="002512A9" w:rsidRPr="00E11889" w:rsidRDefault="002512A9" w:rsidP="00A45CAD">
      <w:pPr>
        <w:pStyle w:val="Referenceslist"/>
      </w:pPr>
      <w:r w:rsidRPr="00E11889">
        <w:t>LASHUEL, H.A.</w:t>
      </w:r>
      <w:r w:rsidR="005B7715" w:rsidRPr="00E11889">
        <w:t>,</w:t>
      </w:r>
      <w:r w:rsidRPr="00E11889">
        <w:t xml:space="preserve"> </w:t>
      </w:r>
      <w:r w:rsidR="005B7715" w:rsidRPr="00E11889">
        <w:t xml:space="preserve">B.M. </w:t>
      </w:r>
      <w:r w:rsidRPr="00E11889">
        <w:t xml:space="preserve">PETRE, </w:t>
      </w:r>
      <w:r w:rsidR="005B7715" w:rsidRPr="00E11889">
        <w:t xml:space="preserve">J. </w:t>
      </w:r>
      <w:r w:rsidRPr="00E11889">
        <w:t>WALL,</w:t>
      </w:r>
      <w:r w:rsidR="005B7715" w:rsidRPr="00E11889">
        <w:t xml:space="preserve"> M. </w:t>
      </w:r>
      <w:r w:rsidRPr="00E11889">
        <w:t xml:space="preserve">SIMON, </w:t>
      </w:r>
      <w:r w:rsidR="005B7715" w:rsidRPr="00E11889">
        <w:t xml:space="preserve">R.J. </w:t>
      </w:r>
      <w:r w:rsidRPr="00E11889">
        <w:t xml:space="preserve">NOWAK, </w:t>
      </w:r>
      <w:r w:rsidR="005B7715" w:rsidRPr="00E11889">
        <w:t xml:space="preserve">T. </w:t>
      </w:r>
      <w:r w:rsidRPr="00E11889">
        <w:t xml:space="preserve">WALZ, </w:t>
      </w:r>
      <w:r w:rsidR="005B7715" w:rsidRPr="00E11889">
        <w:t xml:space="preserve">P.T. </w:t>
      </w:r>
      <w:r w:rsidRPr="00E11889">
        <w:t xml:space="preserve">LANSBURY, </w:t>
      </w:r>
      <w:r w:rsidR="007D37F1" w:rsidRPr="00E11889">
        <w:t>α-synuclein, especially the Parkinson’s disease-associated mutants, forms pore-like annular and tubular protofibrils</w:t>
      </w:r>
      <w:r w:rsidR="005B7715" w:rsidRPr="00E11889">
        <w:t>,</w:t>
      </w:r>
      <w:r w:rsidRPr="00E11889">
        <w:t xml:space="preserve"> </w:t>
      </w:r>
      <w:r w:rsidRPr="00E11889">
        <w:rPr>
          <w:i/>
          <w:iCs/>
        </w:rPr>
        <w:t>Journal of Molecular Biology</w:t>
      </w:r>
      <w:r w:rsidR="005B7715" w:rsidRPr="00E11889">
        <w:rPr>
          <w:i/>
          <w:iCs/>
        </w:rPr>
        <w:t>,</w:t>
      </w:r>
      <w:r w:rsidRPr="00E11889">
        <w:t xml:space="preserve"> </w:t>
      </w:r>
      <w:r w:rsidRPr="00E11889">
        <w:rPr>
          <w:bCs/>
        </w:rPr>
        <w:t>2002</w:t>
      </w:r>
      <w:r w:rsidRPr="00E11889">
        <w:t xml:space="preserve">, </w:t>
      </w:r>
      <w:r w:rsidRPr="00E11889">
        <w:rPr>
          <w:b/>
        </w:rPr>
        <w:t>322</w:t>
      </w:r>
      <w:r w:rsidRPr="00E11889">
        <w:rPr>
          <w:bCs/>
        </w:rPr>
        <w:t>(5)</w:t>
      </w:r>
      <w:r w:rsidRPr="00E11889">
        <w:t xml:space="preserve">, 1089–1102. </w:t>
      </w:r>
    </w:p>
    <w:p w14:paraId="18B86652" w14:textId="5A8E27E9" w:rsidR="002512A9" w:rsidRPr="00E11889" w:rsidRDefault="002512A9" w:rsidP="00A45CAD">
      <w:pPr>
        <w:pStyle w:val="Referenceslist"/>
      </w:pPr>
      <w:r w:rsidRPr="00E11889">
        <w:t>LASKOWSKI, R.A.</w:t>
      </w:r>
      <w:r w:rsidR="005B7715" w:rsidRPr="00E11889">
        <w:t>,</w:t>
      </w:r>
      <w:r w:rsidRPr="00E11889">
        <w:t xml:space="preserve"> </w:t>
      </w:r>
      <w:r w:rsidR="005B7715" w:rsidRPr="00E11889">
        <w:t xml:space="preserve">M.B. </w:t>
      </w:r>
      <w:r w:rsidRPr="00E11889">
        <w:t xml:space="preserve">SWINDELLS, </w:t>
      </w:r>
      <w:proofErr w:type="spellStart"/>
      <w:r w:rsidRPr="00E11889">
        <w:t>LigPlot</w:t>
      </w:r>
      <w:proofErr w:type="spellEnd"/>
      <w:r w:rsidRPr="00E11889">
        <w:t xml:space="preserve">+: </w:t>
      </w:r>
      <w:r w:rsidR="007D37F1" w:rsidRPr="00E11889">
        <w:t>multiple ligand-protein interaction diagrams for drug discovery</w:t>
      </w:r>
      <w:r w:rsidR="005B7715" w:rsidRPr="00E11889">
        <w:t>,</w:t>
      </w:r>
      <w:r w:rsidRPr="00E11889">
        <w:t xml:space="preserve"> </w:t>
      </w:r>
      <w:r w:rsidRPr="00E11889">
        <w:rPr>
          <w:i/>
          <w:iCs/>
        </w:rPr>
        <w:t>J</w:t>
      </w:r>
      <w:r w:rsidR="00223C87" w:rsidRPr="00E11889">
        <w:rPr>
          <w:i/>
          <w:iCs/>
        </w:rPr>
        <w:t>.</w:t>
      </w:r>
      <w:r w:rsidRPr="00E11889">
        <w:rPr>
          <w:i/>
          <w:iCs/>
        </w:rPr>
        <w:t xml:space="preserve"> Chem</w:t>
      </w:r>
      <w:r w:rsidR="00223C87" w:rsidRPr="00E11889">
        <w:rPr>
          <w:i/>
          <w:iCs/>
        </w:rPr>
        <w:t>.</w:t>
      </w:r>
      <w:r w:rsidRPr="00E11889">
        <w:rPr>
          <w:i/>
          <w:iCs/>
        </w:rPr>
        <w:t xml:space="preserve"> Inf</w:t>
      </w:r>
      <w:r w:rsidR="00223C87" w:rsidRPr="00E11889">
        <w:rPr>
          <w:i/>
          <w:iCs/>
        </w:rPr>
        <w:t>.</w:t>
      </w:r>
      <w:r w:rsidRPr="00E11889">
        <w:rPr>
          <w:i/>
          <w:iCs/>
        </w:rPr>
        <w:t xml:space="preserve"> Model</w:t>
      </w:r>
      <w:r w:rsidR="00223C87" w:rsidRPr="00E11889">
        <w:rPr>
          <w:i/>
          <w:iCs/>
        </w:rPr>
        <w:t>.</w:t>
      </w:r>
      <w:r w:rsidR="005B7715" w:rsidRPr="00E11889">
        <w:rPr>
          <w:i/>
          <w:iCs/>
        </w:rPr>
        <w:t>,</w:t>
      </w:r>
      <w:r w:rsidRPr="00E11889">
        <w:t xml:space="preserve"> </w:t>
      </w:r>
      <w:r w:rsidRPr="00E11889">
        <w:rPr>
          <w:bCs/>
        </w:rPr>
        <w:t>2011</w:t>
      </w:r>
      <w:r w:rsidRPr="00E11889">
        <w:t xml:space="preserve">, </w:t>
      </w:r>
      <w:r w:rsidRPr="00C061C1">
        <w:rPr>
          <w:b/>
        </w:rPr>
        <w:t>51</w:t>
      </w:r>
      <w:r w:rsidRPr="00E11889">
        <w:rPr>
          <w:bCs/>
        </w:rPr>
        <w:t>(10)</w:t>
      </w:r>
      <w:r w:rsidRPr="00E11889">
        <w:t xml:space="preserve">, 2778–2786. </w:t>
      </w:r>
    </w:p>
    <w:p w14:paraId="753A1F1E" w14:textId="45A1B47F" w:rsidR="002512A9" w:rsidRPr="00E11889" w:rsidRDefault="002512A9" w:rsidP="00A45CAD">
      <w:pPr>
        <w:pStyle w:val="Referenceslist"/>
      </w:pPr>
      <w:r w:rsidRPr="00E11889">
        <w:t>OPENBABEL</w:t>
      </w:r>
      <w:r w:rsidR="00A45CAD">
        <w:t>,</w:t>
      </w:r>
      <w:r w:rsidR="00E11889">
        <w:t xml:space="preserve"> </w:t>
      </w:r>
      <w:r w:rsidRPr="00E11889">
        <w:t>Chemical file format converter</w:t>
      </w:r>
      <w:r w:rsidR="00F87073">
        <w:t>,</w:t>
      </w:r>
      <w:r w:rsidRPr="00E11889">
        <w:t xml:space="preserve"> </w:t>
      </w:r>
      <w:hyperlink r:id="rId21" w:history="1">
        <w:r w:rsidR="00E11889" w:rsidRPr="001C0EF8">
          <w:rPr>
            <w:rStyle w:val="Hyperlink"/>
            <w:szCs w:val="18"/>
          </w:rPr>
          <w:t>http://www.cheminfo.org/Chemistry/Cheminformatics/FormatConverter/index.html</w:t>
        </w:r>
      </w:hyperlink>
      <w:r w:rsidR="00E11889">
        <w:t xml:space="preserve"> </w:t>
      </w:r>
      <w:r w:rsidRPr="00E11889">
        <w:t>(accessed Jul 15, 2020).</w:t>
      </w:r>
    </w:p>
    <w:p w14:paraId="51C8BF1A" w14:textId="1EDAAD9A" w:rsidR="002512A9" w:rsidRPr="00A45CAD" w:rsidRDefault="002512A9" w:rsidP="00A45CAD">
      <w:pPr>
        <w:pStyle w:val="Referenceslist"/>
      </w:pPr>
      <w:r w:rsidRPr="00E11889">
        <w:t>PubChem. PubChem https://pubchem.ncbi.nlm</w:t>
      </w:r>
      <w:r w:rsidRPr="00A45CAD">
        <w:t>.nih.gov/ (accessed Jul 14, 2020).</w:t>
      </w:r>
    </w:p>
    <w:p w14:paraId="1D58365E" w14:textId="6580092A" w:rsidR="002512A9" w:rsidRPr="00E11889" w:rsidRDefault="002512A9" w:rsidP="00A45CAD">
      <w:pPr>
        <w:pStyle w:val="Referenceslist"/>
      </w:pPr>
      <w:r w:rsidRPr="00A45CAD">
        <w:t>TROTT, O.</w:t>
      </w:r>
      <w:r w:rsidR="005B7715" w:rsidRPr="00A45CAD">
        <w:t>,</w:t>
      </w:r>
      <w:r w:rsidRPr="00A45CAD">
        <w:t xml:space="preserve"> </w:t>
      </w:r>
      <w:r w:rsidR="005B7715" w:rsidRPr="00A45CAD">
        <w:t xml:space="preserve">A.J. </w:t>
      </w:r>
      <w:r w:rsidRPr="00A45CAD">
        <w:t xml:space="preserve">OLSON, </w:t>
      </w:r>
      <w:proofErr w:type="spellStart"/>
      <w:r w:rsidRPr="00A45CAD">
        <w:t>AutoDock</w:t>
      </w:r>
      <w:proofErr w:type="spellEnd"/>
      <w:r w:rsidRPr="00A45CAD">
        <w:t xml:space="preserve"> Vina: </w:t>
      </w:r>
      <w:r w:rsidR="007D37F1" w:rsidRPr="00A45CAD">
        <w:t>im</w:t>
      </w:r>
      <w:r w:rsidR="007D37F1" w:rsidRPr="00E11889">
        <w:t>proving the speed and accuracy of docking with a new scoring function, efficient optimization and multithreading</w:t>
      </w:r>
      <w:r w:rsidR="005B7715" w:rsidRPr="00E11889">
        <w:t>,</w:t>
      </w:r>
      <w:r w:rsidRPr="00E11889">
        <w:t xml:space="preserve"> </w:t>
      </w:r>
      <w:r w:rsidRPr="00E11889">
        <w:rPr>
          <w:i/>
          <w:iCs/>
        </w:rPr>
        <w:t>J</w:t>
      </w:r>
      <w:r w:rsidR="00223C87" w:rsidRPr="00E11889">
        <w:rPr>
          <w:i/>
          <w:iCs/>
        </w:rPr>
        <w:t>.</w:t>
      </w:r>
      <w:r w:rsidRPr="00E11889">
        <w:rPr>
          <w:i/>
          <w:iCs/>
        </w:rPr>
        <w:t xml:space="preserve"> </w:t>
      </w:r>
      <w:proofErr w:type="spellStart"/>
      <w:r w:rsidRPr="00E11889">
        <w:rPr>
          <w:i/>
          <w:iCs/>
        </w:rPr>
        <w:t>Comput</w:t>
      </w:r>
      <w:proofErr w:type="spellEnd"/>
      <w:r w:rsidR="00223C87" w:rsidRPr="00E11889">
        <w:rPr>
          <w:i/>
          <w:iCs/>
        </w:rPr>
        <w:t>.</w:t>
      </w:r>
      <w:r w:rsidRPr="00E11889">
        <w:rPr>
          <w:i/>
          <w:iCs/>
        </w:rPr>
        <w:t xml:space="preserve"> Chem</w:t>
      </w:r>
      <w:r w:rsidR="00223C87" w:rsidRPr="00E11889">
        <w:rPr>
          <w:i/>
          <w:iCs/>
        </w:rPr>
        <w:t>.</w:t>
      </w:r>
      <w:r w:rsidR="005B7715" w:rsidRPr="009F0187">
        <w:t>,</w:t>
      </w:r>
      <w:r w:rsidRPr="00E11889">
        <w:t xml:space="preserve"> </w:t>
      </w:r>
      <w:r w:rsidRPr="00E11889">
        <w:rPr>
          <w:bCs/>
        </w:rPr>
        <w:t>2010</w:t>
      </w:r>
      <w:r w:rsidRPr="00E11889">
        <w:t xml:space="preserve">, </w:t>
      </w:r>
      <w:r w:rsidRPr="00E11889">
        <w:rPr>
          <w:b/>
        </w:rPr>
        <w:t>31</w:t>
      </w:r>
      <w:r w:rsidRPr="00E11889">
        <w:rPr>
          <w:bCs/>
        </w:rPr>
        <w:t>(2)</w:t>
      </w:r>
      <w:r w:rsidRPr="00E11889">
        <w:t xml:space="preserve">, 455–461. </w:t>
      </w:r>
    </w:p>
    <w:p w14:paraId="5C2A7988" w14:textId="795A0ED3" w:rsidR="002512A9" w:rsidRPr="00E11889" w:rsidRDefault="002512A9" w:rsidP="00A45CAD">
      <w:pPr>
        <w:pStyle w:val="Referenceslist"/>
      </w:pPr>
      <w:r w:rsidRPr="00E11889">
        <w:t>UÉDA, K.</w:t>
      </w:r>
      <w:r w:rsidR="005B7715" w:rsidRPr="00E11889">
        <w:t>,</w:t>
      </w:r>
      <w:r w:rsidRPr="00E11889">
        <w:t xml:space="preserve"> </w:t>
      </w:r>
      <w:r w:rsidR="005B7715" w:rsidRPr="00E11889">
        <w:t xml:space="preserve">H. </w:t>
      </w:r>
      <w:r w:rsidRPr="00E11889">
        <w:t xml:space="preserve">FUKUSHIMA, </w:t>
      </w:r>
      <w:r w:rsidR="005B7715" w:rsidRPr="00E11889">
        <w:t xml:space="preserve">E. </w:t>
      </w:r>
      <w:r w:rsidRPr="00E11889">
        <w:t xml:space="preserve">MASLIAH, </w:t>
      </w:r>
      <w:r w:rsidR="005B7715" w:rsidRPr="00E11889">
        <w:t xml:space="preserve">Y. </w:t>
      </w:r>
      <w:r w:rsidRPr="00E11889">
        <w:t>XIA,</w:t>
      </w:r>
      <w:r w:rsidR="005B7715" w:rsidRPr="00E11889">
        <w:t xml:space="preserve"> A.</w:t>
      </w:r>
      <w:r w:rsidRPr="00E11889">
        <w:t xml:space="preserve"> IWAI, </w:t>
      </w:r>
      <w:r w:rsidR="005B7715" w:rsidRPr="00E11889">
        <w:t xml:space="preserve">M. </w:t>
      </w:r>
      <w:r w:rsidRPr="00E11889">
        <w:t xml:space="preserve">YOSHIMOTO, </w:t>
      </w:r>
      <w:r w:rsidR="005B7715" w:rsidRPr="00E11889">
        <w:t xml:space="preserve">D.A. </w:t>
      </w:r>
      <w:r w:rsidRPr="00E11889">
        <w:t xml:space="preserve">OTERO, </w:t>
      </w:r>
      <w:r w:rsidR="005B7715" w:rsidRPr="00E11889">
        <w:t xml:space="preserve">J. </w:t>
      </w:r>
      <w:r w:rsidRPr="00E11889">
        <w:t xml:space="preserve">KONDO, </w:t>
      </w:r>
      <w:r w:rsidR="005B7715" w:rsidRPr="00E11889">
        <w:t xml:space="preserve">Y. </w:t>
      </w:r>
      <w:r w:rsidRPr="00E11889">
        <w:t xml:space="preserve">IHARA, </w:t>
      </w:r>
      <w:r w:rsidR="005B7715" w:rsidRPr="00E11889">
        <w:t xml:space="preserve">T. </w:t>
      </w:r>
      <w:r w:rsidRPr="00E11889">
        <w:t xml:space="preserve">SAITOH, </w:t>
      </w:r>
      <w:r w:rsidR="007D37F1" w:rsidRPr="00E11889">
        <w:t>Molecular cloning of c</w:t>
      </w:r>
      <w:r w:rsidR="00223C87" w:rsidRPr="00E11889">
        <w:t>DNA</w:t>
      </w:r>
      <w:r w:rsidR="007D37F1" w:rsidRPr="00E11889">
        <w:t xml:space="preserve"> encoding an unrecognized component of amyloid in </w:t>
      </w:r>
      <w:r w:rsidR="00A45CAD">
        <w:t>A</w:t>
      </w:r>
      <w:r w:rsidR="007D37F1" w:rsidRPr="00E11889">
        <w:t>lzheimer disease</w:t>
      </w:r>
      <w:r w:rsidR="005B7715" w:rsidRPr="00E11889">
        <w:t>,</w:t>
      </w:r>
      <w:r w:rsidRPr="00E11889">
        <w:t xml:space="preserve"> </w:t>
      </w:r>
      <w:r w:rsidRPr="00E11889">
        <w:rPr>
          <w:i/>
          <w:iCs/>
        </w:rPr>
        <w:t>Proc. Natl. Acad. Sci. U.S.A.</w:t>
      </w:r>
      <w:r w:rsidR="00EF64D6" w:rsidRPr="00E11889">
        <w:rPr>
          <w:i/>
          <w:iCs/>
        </w:rPr>
        <w:t>,</w:t>
      </w:r>
      <w:r w:rsidRPr="00E11889">
        <w:t xml:space="preserve"> </w:t>
      </w:r>
      <w:r w:rsidRPr="00E11889">
        <w:rPr>
          <w:bCs/>
        </w:rPr>
        <w:t>1993</w:t>
      </w:r>
      <w:r w:rsidRPr="00E11889">
        <w:t xml:space="preserve">, </w:t>
      </w:r>
      <w:r w:rsidRPr="00E11889">
        <w:rPr>
          <w:b/>
        </w:rPr>
        <w:t>90</w:t>
      </w:r>
      <w:r w:rsidRPr="00E11889">
        <w:rPr>
          <w:bCs/>
        </w:rPr>
        <w:t>(23)</w:t>
      </w:r>
      <w:r w:rsidRPr="00E11889">
        <w:t>, 11282–11286.</w:t>
      </w:r>
    </w:p>
    <w:p w14:paraId="648537E3" w14:textId="128AD351" w:rsidR="002512A9" w:rsidRPr="00E11889" w:rsidRDefault="0092083C" w:rsidP="00A45CAD">
      <w:pPr>
        <w:pStyle w:val="Referenceslist"/>
      </w:pPr>
      <w:r w:rsidRPr="00E11889">
        <w:t xml:space="preserve">wwPDB consortium, </w:t>
      </w:r>
      <w:r w:rsidR="009F0187" w:rsidRPr="00E11889">
        <w:t xml:space="preserve">S.K. </w:t>
      </w:r>
      <w:r w:rsidR="002512A9" w:rsidRPr="00E11889">
        <w:t xml:space="preserve">BURLEY, </w:t>
      </w:r>
      <w:r w:rsidR="00EF64D6" w:rsidRPr="00E11889">
        <w:t xml:space="preserve">H.M. </w:t>
      </w:r>
      <w:r w:rsidR="002512A9" w:rsidRPr="00E11889">
        <w:t xml:space="preserve">BERMAN, </w:t>
      </w:r>
      <w:r w:rsidR="00EF64D6" w:rsidRPr="00E11889">
        <w:t xml:space="preserve">C. </w:t>
      </w:r>
      <w:r w:rsidR="002512A9" w:rsidRPr="00E11889">
        <w:t xml:space="preserve">BHIKADIYA, </w:t>
      </w:r>
      <w:r w:rsidR="00EF64D6" w:rsidRPr="00E11889">
        <w:t xml:space="preserve">C. </w:t>
      </w:r>
      <w:r w:rsidR="002512A9" w:rsidRPr="00E11889">
        <w:t xml:space="preserve">BI, </w:t>
      </w:r>
      <w:r w:rsidR="00EF64D6" w:rsidRPr="00E11889">
        <w:t xml:space="preserve">L. </w:t>
      </w:r>
      <w:r w:rsidR="002512A9" w:rsidRPr="00E11889">
        <w:t xml:space="preserve">CHEN, </w:t>
      </w:r>
      <w:r w:rsidR="00EF64D6" w:rsidRPr="00E11889">
        <w:t xml:space="preserve">L.D. </w:t>
      </w:r>
      <w:r w:rsidR="002512A9" w:rsidRPr="00E11889">
        <w:t xml:space="preserve">COSTANZO, </w:t>
      </w:r>
      <w:r w:rsidR="00EF64D6" w:rsidRPr="00E11889">
        <w:t xml:space="preserve">C. </w:t>
      </w:r>
      <w:r w:rsidR="002512A9" w:rsidRPr="00E11889">
        <w:t xml:space="preserve">CHRISTIE, </w:t>
      </w:r>
      <w:r w:rsidR="00EF64D6" w:rsidRPr="00E11889">
        <w:t xml:space="preserve">J.M. </w:t>
      </w:r>
      <w:r w:rsidR="002512A9" w:rsidRPr="00E11889">
        <w:t xml:space="preserve">DUARTE, </w:t>
      </w:r>
      <w:r w:rsidR="00EF64D6" w:rsidRPr="00E11889">
        <w:t xml:space="preserve">S. </w:t>
      </w:r>
      <w:r w:rsidR="002512A9" w:rsidRPr="00E11889">
        <w:t xml:space="preserve">DUTTA, </w:t>
      </w:r>
      <w:r w:rsidR="00EF64D6" w:rsidRPr="00E11889">
        <w:t xml:space="preserve">Z. </w:t>
      </w:r>
      <w:r w:rsidR="002512A9" w:rsidRPr="00E11889">
        <w:t xml:space="preserve">FENG, </w:t>
      </w:r>
      <w:r w:rsidR="00EF64D6" w:rsidRPr="00E11889">
        <w:t xml:space="preserve">S. </w:t>
      </w:r>
      <w:r w:rsidR="002512A9" w:rsidRPr="00E11889">
        <w:t xml:space="preserve">GHOSH, </w:t>
      </w:r>
      <w:r w:rsidR="00EF64D6" w:rsidRPr="00E11889">
        <w:t xml:space="preserve">D.S. </w:t>
      </w:r>
      <w:r w:rsidR="002512A9" w:rsidRPr="00E11889">
        <w:t xml:space="preserve">GOODSELL, </w:t>
      </w:r>
      <w:r w:rsidR="00EF64D6" w:rsidRPr="00E11889">
        <w:t xml:space="preserve">R.K. </w:t>
      </w:r>
      <w:r w:rsidR="002512A9" w:rsidRPr="00E11889">
        <w:t>GREEN,</w:t>
      </w:r>
      <w:r w:rsidR="00EF64D6" w:rsidRPr="00E11889">
        <w:t xml:space="preserve"> V. </w:t>
      </w:r>
      <w:r w:rsidR="002512A9" w:rsidRPr="00E11889">
        <w:t xml:space="preserve">GURANOVIC, </w:t>
      </w:r>
      <w:r w:rsidR="00EF64D6" w:rsidRPr="00E11889">
        <w:t xml:space="preserve">D. </w:t>
      </w:r>
      <w:r w:rsidR="002512A9" w:rsidRPr="00E11889">
        <w:t xml:space="preserve">GUZENKO, </w:t>
      </w:r>
      <w:r w:rsidR="00EF64D6" w:rsidRPr="00E11889">
        <w:t xml:space="preserve">B.P. </w:t>
      </w:r>
      <w:r w:rsidR="002512A9" w:rsidRPr="00E11889">
        <w:t xml:space="preserve">HUDSON, </w:t>
      </w:r>
      <w:r w:rsidR="00EF64D6" w:rsidRPr="00E11889">
        <w:t xml:space="preserve">Y. </w:t>
      </w:r>
      <w:r w:rsidR="002512A9" w:rsidRPr="00E11889">
        <w:t>LIANG,</w:t>
      </w:r>
      <w:r w:rsidR="00EF64D6" w:rsidRPr="00E11889">
        <w:t xml:space="preserve"> R.</w:t>
      </w:r>
      <w:r w:rsidR="002512A9" w:rsidRPr="00E11889">
        <w:t xml:space="preserve"> LOWE, </w:t>
      </w:r>
      <w:r w:rsidR="00EF64D6" w:rsidRPr="00E11889">
        <w:t xml:space="preserve">E. </w:t>
      </w:r>
      <w:r w:rsidR="002512A9" w:rsidRPr="00E11889">
        <w:t xml:space="preserve">PEISACH, </w:t>
      </w:r>
      <w:r w:rsidR="00EF64D6" w:rsidRPr="00E11889">
        <w:t xml:space="preserve">I. </w:t>
      </w:r>
      <w:r w:rsidR="002512A9" w:rsidRPr="00E11889">
        <w:t>PERISKOVA,</w:t>
      </w:r>
      <w:r w:rsidR="00EF64D6" w:rsidRPr="00E11889">
        <w:t xml:space="preserve"> C.</w:t>
      </w:r>
      <w:r w:rsidR="002512A9" w:rsidRPr="00E11889">
        <w:t xml:space="preserve"> RANDLE, </w:t>
      </w:r>
      <w:r w:rsidR="00EF64D6" w:rsidRPr="00E11889">
        <w:t xml:space="preserve">A. </w:t>
      </w:r>
      <w:r w:rsidR="002512A9" w:rsidRPr="00E11889">
        <w:t xml:space="preserve">ROSE, </w:t>
      </w:r>
      <w:r w:rsidR="00EF64D6" w:rsidRPr="00E11889">
        <w:t xml:space="preserve">M. </w:t>
      </w:r>
      <w:r w:rsidR="002512A9" w:rsidRPr="00E11889">
        <w:t xml:space="preserve">SEKHARAN, </w:t>
      </w:r>
      <w:r w:rsidR="00EF64D6" w:rsidRPr="00E11889">
        <w:t xml:space="preserve">C. </w:t>
      </w:r>
      <w:r w:rsidR="002512A9" w:rsidRPr="00E11889">
        <w:t xml:space="preserve">SHAO, </w:t>
      </w:r>
      <w:r w:rsidR="00EF64D6" w:rsidRPr="00E11889">
        <w:t xml:space="preserve">Y.P. </w:t>
      </w:r>
      <w:r w:rsidR="002512A9" w:rsidRPr="00E11889">
        <w:t xml:space="preserve">TAO, </w:t>
      </w:r>
      <w:r w:rsidR="00EF64D6" w:rsidRPr="00E11889">
        <w:t xml:space="preserve">Y. </w:t>
      </w:r>
      <w:r w:rsidR="002512A9" w:rsidRPr="00E11889">
        <w:t xml:space="preserve">VALASATAVA, </w:t>
      </w:r>
      <w:r w:rsidR="00EF64D6" w:rsidRPr="00E11889">
        <w:t xml:space="preserve">M. </w:t>
      </w:r>
      <w:r w:rsidR="002512A9" w:rsidRPr="00E11889">
        <w:t xml:space="preserve">VOIGT, </w:t>
      </w:r>
      <w:r w:rsidR="00EF64D6" w:rsidRPr="00E11889">
        <w:t xml:space="preserve">J. </w:t>
      </w:r>
      <w:r w:rsidR="002512A9" w:rsidRPr="00E11889">
        <w:t xml:space="preserve">WESTBROOK, </w:t>
      </w:r>
      <w:r w:rsidR="00EF64D6" w:rsidRPr="00E11889">
        <w:t xml:space="preserve">J. </w:t>
      </w:r>
      <w:r w:rsidR="002512A9" w:rsidRPr="00E11889">
        <w:t>YOUNG,</w:t>
      </w:r>
      <w:r w:rsidR="00EF64D6" w:rsidRPr="00E11889">
        <w:t xml:space="preserve"> C.</w:t>
      </w:r>
      <w:r w:rsidR="002512A9" w:rsidRPr="00E11889">
        <w:t xml:space="preserve"> ZARDECKI, </w:t>
      </w:r>
      <w:r w:rsidR="00EF64D6" w:rsidRPr="00E11889">
        <w:t xml:space="preserve">M. </w:t>
      </w:r>
      <w:r w:rsidR="002512A9" w:rsidRPr="00E11889">
        <w:t xml:space="preserve">ZHURAVLEVA, </w:t>
      </w:r>
      <w:r w:rsidR="00EF64D6" w:rsidRPr="00E11889">
        <w:t xml:space="preserve">G. </w:t>
      </w:r>
      <w:r w:rsidR="002512A9" w:rsidRPr="00E11889">
        <w:t xml:space="preserve">KURISU, </w:t>
      </w:r>
      <w:r w:rsidR="00EF64D6" w:rsidRPr="00E11889">
        <w:t xml:space="preserve">H. </w:t>
      </w:r>
      <w:r w:rsidR="002512A9" w:rsidRPr="00E11889">
        <w:t>NAKAMURA,</w:t>
      </w:r>
      <w:r w:rsidR="00EF64D6" w:rsidRPr="00E11889">
        <w:t xml:space="preserve"> Y.</w:t>
      </w:r>
      <w:r w:rsidR="002512A9" w:rsidRPr="00E11889">
        <w:t xml:space="preserve"> KENGAKU, </w:t>
      </w:r>
      <w:r w:rsidR="00EF64D6" w:rsidRPr="00E11889">
        <w:t xml:space="preserve">H. </w:t>
      </w:r>
      <w:r w:rsidR="002512A9" w:rsidRPr="00E11889">
        <w:t xml:space="preserve">CHO, </w:t>
      </w:r>
      <w:r w:rsidR="00EF64D6" w:rsidRPr="00E11889">
        <w:t xml:space="preserve">J. </w:t>
      </w:r>
      <w:r w:rsidR="002512A9" w:rsidRPr="00E11889">
        <w:t xml:space="preserve">SATO, </w:t>
      </w:r>
      <w:r w:rsidR="00EF64D6" w:rsidRPr="00E11889">
        <w:t xml:space="preserve">J.Y. </w:t>
      </w:r>
      <w:r w:rsidR="002512A9" w:rsidRPr="00E11889">
        <w:t xml:space="preserve">KIM, </w:t>
      </w:r>
      <w:r w:rsidR="00EF64D6" w:rsidRPr="00E11889">
        <w:t xml:space="preserve">Y. </w:t>
      </w:r>
      <w:r w:rsidR="002512A9" w:rsidRPr="00E11889">
        <w:t xml:space="preserve">IKEGAWA, </w:t>
      </w:r>
      <w:r w:rsidR="00EF64D6" w:rsidRPr="00E11889">
        <w:t xml:space="preserve">A. </w:t>
      </w:r>
      <w:r w:rsidR="002512A9" w:rsidRPr="00E11889">
        <w:t xml:space="preserve">NAKAGAWA, </w:t>
      </w:r>
      <w:r w:rsidR="00EF64D6" w:rsidRPr="00E11889">
        <w:t xml:space="preserve">R. </w:t>
      </w:r>
      <w:r w:rsidR="002512A9" w:rsidRPr="00E11889">
        <w:t xml:space="preserve">YAMASHITA, </w:t>
      </w:r>
      <w:r w:rsidR="00EF64D6" w:rsidRPr="00E11889">
        <w:t xml:space="preserve">T. </w:t>
      </w:r>
      <w:r w:rsidR="002512A9" w:rsidRPr="00E11889">
        <w:t xml:space="preserve">KUDOU, </w:t>
      </w:r>
      <w:r w:rsidR="00EF64D6" w:rsidRPr="00E11889">
        <w:t xml:space="preserve">G.J. </w:t>
      </w:r>
      <w:r w:rsidR="002512A9" w:rsidRPr="00E11889">
        <w:t xml:space="preserve">BEKKER, </w:t>
      </w:r>
      <w:r w:rsidR="00EF64D6" w:rsidRPr="00E11889">
        <w:t xml:space="preserve">H. </w:t>
      </w:r>
      <w:r w:rsidR="002512A9" w:rsidRPr="00E11889">
        <w:t xml:space="preserve">SUZUKI, </w:t>
      </w:r>
      <w:r w:rsidR="00EF64D6" w:rsidRPr="00E11889">
        <w:t xml:space="preserve">T. </w:t>
      </w:r>
      <w:r w:rsidR="002512A9" w:rsidRPr="00E11889">
        <w:t xml:space="preserve">IWATA, </w:t>
      </w:r>
      <w:r w:rsidR="00EF64D6" w:rsidRPr="00E11889">
        <w:t xml:space="preserve">M. </w:t>
      </w:r>
      <w:r w:rsidR="002512A9" w:rsidRPr="00E11889">
        <w:t xml:space="preserve">YOKOCHI, </w:t>
      </w:r>
      <w:r w:rsidR="00EF64D6" w:rsidRPr="00E11889">
        <w:t xml:space="preserve">N. </w:t>
      </w:r>
      <w:r w:rsidR="002512A9" w:rsidRPr="00E11889">
        <w:t xml:space="preserve">KOBAYASHI, </w:t>
      </w:r>
      <w:r w:rsidR="00EF64D6" w:rsidRPr="00E11889">
        <w:t xml:space="preserve">T. </w:t>
      </w:r>
      <w:r w:rsidR="002512A9" w:rsidRPr="00E11889">
        <w:t xml:space="preserve">FUJIWARA, </w:t>
      </w:r>
      <w:r w:rsidR="00EF64D6" w:rsidRPr="00E11889">
        <w:t xml:space="preserve">S. </w:t>
      </w:r>
      <w:r w:rsidR="002512A9" w:rsidRPr="00E11889">
        <w:t xml:space="preserve">VELANKAR, </w:t>
      </w:r>
      <w:r w:rsidR="00EF64D6" w:rsidRPr="00E11889">
        <w:t xml:space="preserve">G.J. </w:t>
      </w:r>
      <w:r w:rsidR="002512A9" w:rsidRPr="00E11889">
        <w:t>KLEYWEGT,</w:t>
      </w:r>
      <w:r w:rsidR="00EF64D6" w:rsidRPr="00E11889">
        <w:t xml:space="preserve"> S.</w:t>
      </w:r>
      <w:r w:rsidR="002512A9" w:rsidRPr="00E11889">
        <w:t xml:space="preserve"> ANYANGO, </w:t>
      </w:r>
      <w:r w:rsidR="00EF64D6" w:rsidRPr="00E11889">
        <w:t xml:space="preserve">D.R. </w:t>
      </w:r>
      <w:r w:rsidR="002512A9" w:rsidRPr="00E11889">
        <w:t xml:space="preserve">ARMSTRONG, </w:t>
      </w:r>
      <w:r w:rsidR="00EF64D6" w:rsidRPr="00E11889">
        <w:t xml:space="preserve">J.M. </w:t>
      </w:r>
      <w:r w:rsidR="002512A9" w:rsidRPr="00E11889">
        <w:t xml:space="preserve">BERRISFORD, </w:t>
      </w:r>
      <w:r w:rsidR="00355859" w:rsidRPr="00E11889">
        <w:t xml:space="preserve">M.J. </w:t>
      </w:r>
      <w:r w:rsidR="002512A9" w:rsidRPr="00E11889">
        <w:t xml:space="preserve">CONROY, </w:t>
      </w:r>
      <w:r w:rsidR="000F4C12" w:rsidRPr="00E11889">
        <w:t xml:space="preserve">J.M. </w:t>
      </w:r>
      <w:r w:rsidR="002512A9" w:rsidRPr="00E11889">
        <w:t xml:space="preserve">DANA, </w:t>
      </w:r>
      <w:r w:rsidR="000F4C12" w:rsidRPr="00E11889">
        <w:t xml:space="preserve">M. </w:t>
      </w:r>
      <w:r w:rsidR="002512A9" w:rsidRPr="00E11889">
        <w:t xml:space="preserve">DESHPANDE, </w:t>
      </w:r>
      <w:r w:rsidR="000F4C12" w:rsidRPr="00E11889">
        <w:t xml:space="preserve">P. </w:t>
      </w:r>
      <w:r w:rsidR="002512A9" w:rsidRPr="00E11889">
        <w:t xml:space="preserve">GANE, </w:t>
      </w:r>
      <w:r w:rsidR="000F4C12" w:rsidRPr="00E11889">
        <w:t xml:space="preserve">R. </w:t>
      </w:r>
      <w:r w:rsidR="002512A9" w:rsidRPr="00E11889">
        <w:t>GÁBOROVÁ,</w:t>
      </w:r>
      <w:r w:rsidR="000F4C12" w:rsidRPr="00E11889">
        <w:t xml:space="preserve"> D.</w:t>
      </w:r>
      <w:r w:rsidR="002512A9" w:rsidRPr="00E11889">
        <w:t xml:space="preserve"> GUPTA, </w:t>
      </w:r>
      <w:r w:rsidR="000F4C12" w:rsidRPr="00E11889">
        <w:t xml:space="preserve">A. </w:t>
      </w:r>
      <w:r w:rsidR="002512A9" w:rsidRPr="00E11889">
        <w:t xml:space="preserve">GUTMANAS, </w:t>
      </w:r>
      <w:r w:rsidR="000F4C12" w:rsidRPr="00E11889">
        <w:t xml:space="preserve">J. </w:t>
      </w:r>
      <w:r w:rsidR="002512A9" w:rsidRPr="00E11889">
        <w:t xml:space="preserve">KOČA, </w:t>
      </w:r>
      <w:r w:rsidR="000F4C12" w:rsidRPr="00E11889">
        <w:t xml:space="preserve">L. </w:t>
      </w:r>
      <w:r w:rsidR="002512A9" w:rsidRPr="00E11889">
        <w:t xml:space="preserve">MAK, </w:t>
      </w:r>
      <w:r w:rsidR="000F4C12" w:rsidRPr="00E11889">
        <w:t xml:space="preserve">S. </w:t>
      </w:r>
      <w:r w:rsidR="002512A9" w:rsidRPr="00E11889">
        <w:t xml:space="preserve">MIR, </w:t>
      </w:r>
      <w:r w:rsidR="000F4C12" w:rsidRPr="00E11889">
        <w:t xml:space="preserve">A. </w:t>
      </w:r>
      <w:r w:rsidR="002512A9" w:rsidRPr="00E11889">
        <w:t xml:space="preserve">MUKHOPADHYAY, </w:t>
      </w:r>
      <w:r w:rsidR="000F4C12" w:rsidRPr="00E11889">
        <w:t xml:space="preserve">N. </w:t>
      </w:r>
      <w:r w:rsidR="002512A9" w:rsidRPr="00E11889">
        <w:t xml:space="preserve">NADZIRIN, </w:t>
      </w:r>
      <w:r w:rsidR="000F4C12" w:rsidRPr="00E11889">
        <w:t xml:space="preserve">S. </w:t>
      </w:r>
      <w:r w:rsidR="002512A9" w:rsidRPr="00E11889">
        <w:t xml:space="preserve">NAIR, </w:t>
      </w:r>
      <w:r w:rsidR="000F4C12" w:rsidRPr="00E11889">
        <w:t xml:space="preserve">A. </w:t>
      </w:r>
      <w:r w:rsidR="002512A9" w:rsidRPr="00E11889">
        <w:t xml:space="preserve">PATWARDHAN, </w:t>
      </w:r>
      <w:r w:rsidR="000F4C12" w:rsidRPr="00E11889">
        <w:t xml:space="preserve">T. </w:t>
      </w:r>
      <w:r w:rsidR="002512A9" w:rsidRPr="00E11889">
        <w:t xml:space="preserve">PAYSAN-LAFOSSE, </w:t>
      </w:r>
      <w:r w:rsidR="000F4C12" w:rsidRPr="00E11889">
        <w:t xml:space="preserve">L. </w:t>
      </w:r>
      <w:r w:rsidR="002512A9" w:rsidRPr="00E11889">
        <w:t xml:space="preserve">PRAVDA, </w:t>
      </w:r>
      <w:r w:rsidR="000F4C12" w:rsidRPr="00E11889">
        <w:t xml:space="preserve">O. </w:t>
      </w:r>
      <w:r w:rsidR="002512A9" w:rsidRPr="00E11889">
        <w:t xml:space="preserve">SALIH, </w:t>
      </w:r>
      <w:r w:rsidR="000F4C12" w:rsidRPr="00E11889">
        <w:t xml:space="preserve">D. </w:t>
      </w:r>
      <w:r w:rsidR="002512A9" w:rsidRPr="00E11889">
        <w:t xml:space="preserve">SEHNAL, </w:t>
      </w:r>
      <w:r w:rsidR="000F4C12" w:rsidRPr="00E11889">
        <w:t xml:space="preserve">M. </w:t>
      </w:r>
      <w:r w:rsidR="002512A9" w:rsidRPr="00E11889">
        <w:t>VARADI,</w:t>
      </w:r>
      <w:r w:rsidR="000F4C12" w:rsidRPr="00E11889">
        <w:t xml:space="preserve"> R. </w:t>
      </w:r>
      <w:r w:rsidR="002512A9" w:rsidRPr="00E11889">
        <w:t xml:space="preserve">VAŘEKOVÁ, </w:t>
      </w:r>
      <w:r w:rsidR="000F4C12" w:rsidRPr="00E11889">
        <w:t xml:space="preserve">J.L. </w:t>
      </w:r>
      <w:r w:rsidR="002512A9" w:rsidRPr="00E11889">
        <w:t>MARKLEY,</w:t>
      </w:r>
      <w:r w:rsidR="000F4C12" w:rsidRPr="00E11889">
        <w:t xml:space="preserve"> J.C.</w:t>
      </w:r>
      <w:r w:rsidR="002512A9" w:rsidRPr="00E11889">
        <w:t xml:space="preserve"> HOCH, </w:t>
      </w:r>
      <w:r w:rsidR="000F4C12" w:rsidRPr="00E11889">
        <w:t xml:space="preserve">P.R. </w:t>
      </w:r>
      <w:r w:rsidR="002512A9" w:rsidRPr="00E11889">
        <w:t xml:space="preserve">ROMERO, </w:t>
      </w:r>
      <w:r w:rsidR="000F4C12" w:rsidRPr="00E11889">
        <w:t xml:space="preserve">K. </w:t>
      </w:r>
      <w:r w:rsidR="002512A9" w:rsidRPr="00E11889">
        <w:t xml:space="preserve">BASKARAN, </w:t>
      </w:r>
      <w:r w:rsidR="000F4C12" w:rsidRPr="00E11889">
        <w:t xml:space="preserve">D. </w:t>
      </w:r>
      <w:r w:rsidR="002512A9" w:rsidRPr="00E11889">
        <w:t xml:space="preserve">MAZIUK, </w:t>
      </w:r>
      <w:r w:rsidR="000F4C12" w:rsidRPr="00E11889">
        <w:t xml:space="preserve">E.L. </w:t>
      </w:r>
      <w:r w:rsidR="002512A9" w:rsidRPr="00E11889">
        <w:t xml:space="preserve">ULRICH, </w:t>
      </w:r>
      <w:r w:rsidR="000F4C12" w:rsidRPr="00E11889">
        <w:t>J.R.</w:t>
      </w:r>
      <w:r w:rsidR="002512A9" w:rsidRPr="00E11889">
        <w:t>WEDELL,</w:t>
      </w:r>
      <w:r w:rsidR="000F4C12" w:rsidRPr="00E11889">
        <w:t xml:space="preserve"> H.</w:t>
      </w:r>
      <w:r w:rsidR="002512A9" w:rsidRPr="00E11889">
        <w:t xml:space="preserve"> YAO, </w:t>
      </w:r>
      <w:r w:rsidR="000F4C12" w:rsidRPr="00E11889">
        <w:t xml:space="preserve">M. </w:t>
      </w:r>
      <w:r w:rsidR="002512A9" w:rsidRPr="00E11889">
        <w:t xml:space="preserve">LIVNY, </w:t>
      </w:r>
      <w:r w:rsidR="000F4C12" w:rsidRPr="00E11889">
        <w:t>Y.</w:t>
      </w:r>
      <w:r w:rsidR="00AE56F2" w:rsidRPr="00E11889">
        <w:t xml:space="preserve"> </w:t>
      </w:r>
      <w:r w:rsidR="000F4C12" w:rsidRPr="00E11889">
        <w:t xml:space="preserve">E. </w:t>
      </w:r>
      <w:r w:rsidR="002512A9" w:rsidRPr="00E11889">
        <w:t xml:space="preserve">IOANNIDIS, Protein </w:t>
      </w:r>
      <w:r w:rsidR="002512A9" w:rsidRPr="00E11889">
        <w:lastRenderedPageBreak/>
        <w:t>Data Bank: The Single Global Archive for 3D Macromolecular Structure Data</w:t>
      </w:r>
      <w:r w:rsidR="000F4C12" w:rsidRPr="00E11889">
        <w:t>,</w:t>
      </w:r>
      <w:r w:rsidR="002512A9" w:rsidRPr="00E11889">
        <w:t xml:space="preserve"> </w:t>
      </w:r>
      <w:r w:rsidR="002512A9" w:rsidRPr="00E11889">
        <w:rPr>
          <w:i/>
          <w:iCs/>
        </w:rPr>
        <w:t>Nucleic Acids Research</w:t>
      </w:r>
      <w:r w:rsidR="000F4C12" w:rsidRPr="00E11889">
        <w:rPr>
          <w:i/>
          <w:iCs/>
        </w:rPr>
        <w:t>,</w:t>
      </w:r>
      <w:r w:rsidR="002512A9" w:rsidRPr="00E11889">
        <w:t xml:space="preserve"> </w:t>
      </w:r>
      <w:r w:rsidR="002512A9" w:rsidRPr="00E11889">
        <w:rPr>
          <w:bCs/>
        </w:rPr>
        <w:t>2019</w:t>
      </w:r>
      <w:r w:rsidR="002512A9" w:rsidRPr="00E11889">
        <w:t xml:space="preserve">, </w:t>
      </w:r>
      <w:r w:rsidR="002512A9" w:rsidRPr="00E11889">
        <w:rPr>
          <w:b/>
        </w:rPr>
        <w:t>47</w:t>
      </w:r>
      <w:r w:rsidR="002512A9" w:rsidRPr="00E11889">
        <w:rPr>
          <w:bCs/>
        </w:rPr>
        <w:t>(D1)</w:t>
      </w:r>
      <w:r w:rsidR="002512A9" w:rsidRPr="00E11889">
        <w:t>, D520–D528.</w:t>
      </w:r>
    </w:p>
    <w:p w14:paraId="65BDE55E" w14:textId="73417582" w:rsidR="002512A9" w:rsidRPr="00E11889" w:rsidRDefault="002512A9" w:rsidP="00A45CAD">
      <w:pPr>
        <w:pStyle w:val="Referenceslist"/>
      </w:pPr>
      <w:r w:rsidRPr="00E11889">
        <w:t>ZAKARIYA, S.M.</w:t>
      </w:r>
      <w:r w:rsidR="003A0FE3" w:rsidRPr="00E11889">
        <w:t>,</w:t>
      </w:r>
      <w:r w:rsidRPr="00E11889">
        <w:t xml:space="preserve"> </w:t>
      </w:r>
      <w:r w:rsidR="003A0FE3" w:rsidRPr="00E11889">
        <w:t xml:space="preserve">M. </w:t>
      </w:r>
      <w:r w:rsidRPr="00E11889">
        <w:t xml:space="preserve">FURKAN, </w:t>
      </w:r>
      <w:r w:rsidR="003A0FE3" w:rsidRPr="00E11889">
        <w:t xml:space="preserve">M. </w:t>
      </w:r>
      <w:r w:rsidRPr="00E11889">
        <w:t>ZAMAN,</w:t>
      </w:r>
      <w:r w:rsidR="003A0FE3" w:rsidRPr="00E11889">
        <w:t xml:space="preserve"> T.I. </w:t>
      </w:r>
      <w:r w:rsidRPr="00E11889">
        <w:t xml:space="preserve">CHANDEL, </w:t>
      </w:r>
      <w:r w:rsidR="003A0FE3" w:rsidRPr="00E11889">
        <w:t xml:space="preserve">S.M. </w:t>
      </w:r>
      <w:r w:rsidRPr="00E11889">
        <w:t xml:space="preserve">ALI, </w:t>
      </w:r>
      <w:r w:rsidR="003A0FE3" w:rsidRPr="00E11889">
        <w:t xml:space="preserve">V.N. </w:t>
      </w:r>
      <w:r w:rsidRPr="00E11889">
        <w:t xml:space="preserve">UVERSKY, </w:t>
      </w:r>
      <w:r w:rsidR="003A0FE3" w:rsidRPr="00E11889">
        <w:t xml:space="preserve">R.H. </w:t>
      </w:r>
      <w:r w:rsidRPr="00E11889">
        <w:t xml:space="preserve">KHAN, </w:t>
      </w:r>
      <w:r w:rsidR="007D37F1" w:rsidRPr="00E11889">
        <w:t xml:space="preserve">An </w:t>
      </w:r>
      <w:r w:rsidR="007D37F1" w:rsidRPr="00E11889">
        <w:rPr>
          <w:i/>
          <w:iCs/>
        </w:rPr>
        <w:t>in-vitro</w:t>
      </w:r>
      <w:r w:rsidR="007D37F1" w:rsidRPr="00E11889">
        <w:t xml:space="preserve"> elucidation of inhibitory potential of carminic acid: possible therapeutic approach for neurodegenerative diseases</w:t>
      </w:r>
      <w:r w:rsidR="003A0FE3" w:rsidRPr="00E11889">
        <w:t>,</w:t>
      </w:r>
      <w:r w:rsidRPr="00E11889">
        <w:t xml:space="preserve"> </w:t>
      </w:r>
      <w:r w:rsidRPr="00E11889">
        <w:rPr>
          <w:i/>
          <w:iCs/>
        </w:rPr>
        <w:t>Journal of Molecular Liquids</w:t>
      </w:r>
      <w:r w:rsidR="003A0FE3" w:rsidRPr="00E11889">
        <w:rPr>
          <w:i/>
          <w:iCs/>
        </w:rPr>
        <w:t>,</w:t>
      </w:r>
      <w:r w:rsidRPr="00E11889">
        <w:t xml:space="preserve"> </w:t>
      </w:r>
      <w:r w:rsidRPr="00E11889">
        <w:rPr>
          <w:bCs/>
        </w:rPr>
        <w:t>2020</w:t>
      </w:r>
      <w:r w:rsidRPr="00E11889">
        <w:t xml:space="preserve">, </w:t>
      </w:r>
      <w:r w:rsidRPr="00E11889">
        <w:rPr>
          <w:b/>
        </w:rPr>
        <w:t>303</w:t>
      </w:r>
      <w:r w:rsidRPr="00E11889">
        <w:t xml:space="preserve">, 112692. </w:t>
      </w:r>
    </w:p>
    <w:p w14:paraId="41152230" w14:textId="72D98C0F" w:rsidR="002512A9" w:rsidRPr="00E11889" w:rsidRDefault="002512A9" w:rsidP="00A45CAD">
      <w:pPr>
        <w:pStyle w:val="Referenceslist"/>
      </w:pPr>
      <w:r w:rsidRPr="00E11889">
        <w:t>ZHANG, J.</w:t>
      </w:r>
      <w:r w:rsidR="009F0187">
        <w:t>,</w:t>
      </w:r>
      <w:r w:rsidRPr="00E11889">
        <w:t xml:space="preserve"> </w:t>
      </w:r>
      <w:r w:rsidR="003A0FE3" w:rsidRPr="00E11889">
        <w:t xml:space="preserve">X. </w:t>
      </w:r>
      <w:r w:rsidRPr="00E11889">
        <w:t xml:space="preserve">LI, </w:t>
      </w:r>
      <w:r w:rsidR="003A0FE3" w:rsidRPr="00E11889">
        <w:t xml:space="preserve">J.D. </w:t>
      </w:r>
      <w:r w:rsidRPr="00E11889">
        <w:t xml:space="preserve">LI, </w:t>
      </w:r>
      <w:r w:rsidR="007D37F1" w:rsidRPr="00E11889">
        <w:t>The roles of post-translational modifications on α-synuclein in the pathogenesis of Parkinson’s diseases</w:t>
      </w:r>
      <w:r w:rsidR="003A0FE3" w:rsidRPr="00E11889">
        <w:t xml:space="preserve">, </w:t>
      </w:r>
      <w:r w:rsidRPr="00E11889">
        <w:rPr>
          <w:i/>
          <w:iCs/>
        </w:rPr>
        <w:t>Front</w:t>
      </w:r>
      <w:r w:rsidR="003A0FE3" w:rsidRPr="00E11889">
        <w:rPr>
          <w:i/>
          <w:iCs/>
        </w:rPr>
        <w:t>.</w:t>
      </w:r>
      <w:r w:rsidRPr="00E11889">
        <w:rPr>
          <w:i/>
          <w:iCs/>
        </w:rPr>
        <w:t xml:space="preserve"> </w:t>
      </w:r>
      <w:proofErr w:type="spellStart"/>
      <w:r w:rsidRPr="00E11889">
        <w:rPr>
          <w:i/>
          <w:iCs/>
        </w:rPr>
        <w:t>Neurosci</w:t>
      </w:r>
      <w:proofErr w:type="spellEnd"/>
      <w:r w:rsidR="003A0FE3" w:rsidRPr="00E11889">
        <w:rPr>
          <w:i/>
          <w:iCs/>
        </w:rPr>
        <w:t>.,</w:t>
      </w:r>
      <w:r w:rsidRPr="00E11889">
        <w:t xml:space="preserve"> </w:t>
      </w:r>
      <w:r w:rsidRPr="00E11889">
        <w:rPr>
          <w:bCs/>
        </w:rPr>
        <w:t>2019</w:t>
      </w:r>
      <w:r w:rsidRPr="00E11889">
        <w:t xml:space="preserve">, </w:t>
      </w:r>
      <w:r w:rsidRPr="00E11889">
        <w:rPr>
          <w:b/>
          <w:bCs/>
        </w:rPr>
        <w:t>13</w:t>
      </w:r>
      <w:r w:rsidR="00C52033" w:rsidRPr="00E11889">
        <w:rPr>
          <w:i/>
          <w:iCs/>
        </w:rPr>
        <w:t>,</w:t>
      </w:r>
      <w:r w:rsidR="00C87B7B" w:rsidRPr="00E11889">
        <w:rPr>
          <w:i/>
          <w:iCs/>
        </w:rPr>
        <w:t xml:space="preserve"> </w:t>
      </w:r>
      <w:r w:rsidR="00EB5CF3" w:rsidRPr="00E11889">
        <w:t>1-10</w:t>
      </w:r>
      <w:r w:rsidR="00F236CF" w:rsidRPr="00E11889">
        <w:t>.</w:t>
      </w:r>
    </w:p>
    <w:p w14:paraId="4D2B3500" w14:textId="3F6988BA" w:rsidR="00FE3119" w:rsidRPr="00E11889" w:rsidRDefault="00FE3119" w:rsidP="00A45CAD">
      <w:pPr>
        <w:pStyle w:val="Referenceslist"/>
      </w:pPr>
      <w:r w:rsidRPr="00E11889">
        <w:t>***</w:t>
      </w:r>
      <w:proofErr w:type="spellStart"/>
      <w:r w:rsidRPr="00E11889">
        <w:t>SwissADME</w:t>
      </w:r>
      <w:proofErr w:type="spellEnd"/>
      <w:r w:rsidRPr="00E11889">
        <w:t xml:space="preserve"> http://www.swissadme.ch/ (accessed Jul</w:t>
      </w:r>
      <w:r w:rsidR="00F03B59" w:rsidRPr="00E11889">
        <w:t>.</w:t>
      </w:r>
      <w:r w:rsidRPr="00E11889">
        <w:t xml:space="preserve"> 19, 2020).</w:t>
      </w:r>
    </w:p>
    <w:sectPr w:rsidR="00FE3119" w:rsidRPr="00E11889">
      <w:headerReference w:type="even" r:id="rId22"/>
      <w:headerReference w:type="default" r:id="rId23"/>
      <w:footerReference w:type="even" r:id="rId24"/>
      <w:footerReference w:type="default" r:id="rId25"/>
      <w:headerReference w:type="first" r:id="rId26"/>
      <w:footerReference w:type="first" r:id="rId27"/>
      <w:pgSz w:w="11907" w:h="16840" w:code="9"/>
      <w:pgMar w:top="2835" w:right="2268" w:bottom="2665" w:left="2268" w:header="2268" w:footer="323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62D60" w14:textId="77777777" w:rsidR="00002719" w:rsidRDefault="00002719">
      <w:r>
        <w:separator/>
      </w:r>
    </w:p>
  </w:endnote>
  <w:endnote w:type="continuationSeparator" w:id="0">
    <w:p w14:paraId="6D5E3D02" w14:textId="77777777" w:rsidR="00002719" w:rsidRDefault="0000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20B06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8E79D" w14:textId="77777777" w:rsidR="00243522" w:rsidRDefault="00243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80E8D" w14:textId="77777777" w:rsidR="00EF64D6" w:rsidRDefault="00EF64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39F75" w14:textId="77777777" w:rsidR="00EF64D6" w:rsidRDefault="00EF64D6">
    <w:pPr>
      <w:pStyle w:val="Received"/>
    </w:pPr>
    <w:r>
      <w:t>_______________________</w:t>
    </w:r>
  </w:p>
  <w:p w14:paraId="2AD9244C" w14:textId="390D99FB" w:rsidR="00EF64D6" w:rsidRDefault="00EF64D6">
    <w:pPr>
      <w:pStyle w:val="Received"/>
      <w:rPr>
        <w:color w:val="FF0000"/>
      </w:rPr>
    </w:pPr>
    <w:r>
      <w:t xml:space="preserve">Received: July 2020; </w:t>
    </w:r>
  </w:p>
  <w:p w14:paraId="67523473" w14:textId="388345BC" w:rsidR="00EF64D6" w:rsidRDefault="00EF64D6">
    <w:pPr>
      <w:pStyle w:val="Received"/>
    </w:pPr>
    <w:r>
      <w:tab/>
      <w:t xml:space="preserve">             in final form </w:t>
    </w:r>
    <w:r w:rsidR="00752B39">
      <w:t>August</w:t>
    </w:r>
    <w:r>
      <w:t xml:space="preserve"> 2020.</w:t>
    </w:r>
  </w:p>
  <w:p w14:paraId="57B30C7F" w14:textId="4E888F3E" w:rsidR="00EF64D6" w:rsidRDefault="00EF64D6">
    <w:pPr>
      <w:pStyle w:val="Footerjournals"/>
      <w:rPr>
        <w:color w:val="FF0000"/>
        <w:lang w:val="fr-FR"/>
      </w:rPr>
    </w:pPr>
    <w:r>
      <w:rPr>
        <w:lang w:val="fr-FR"/>
      </w:rPr>
      <w:t>ROMANIAN J. BIOPHYS., V</w:t>
    </w:r>
    <w:r w:rsidRPr="00D96067">
      <w:rPr>
        <w:caps w:val="0"/>
        <w:lang w:val="fr-FR"/>
      </w:rPr>
      <w:t>ol</w:t>
    </w:r>
    <w:r>
      <w:rPr>
        <w:lang w:val="fr-FR"/>
      </w:rPr>
      <w:t>. 30, N</w:t>
    </w:r>
    <w:r w:rsidRPr="00D96067">
      <w:rPr>
        <w:caps w:val="0"/>
        <w:lang w:val="fr-FR"/>
      </w:rPr>
      <w:t>o</w:t>
    </w:r>
    <w:r>
      <w:rPr>
        <w:lang w:val="fr-FR"/>
      </w:rPr>
      <w:t xml:space="preserve">. 4, P. 000–000, BUCHAREST,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E6332" w14:textId="77777777" w:rsidR="00002719" w:rsidRDefault="00002719">
      <w:r>
        <w:separator/>
      </w:r>
    </w:p>
  </w:footnote>
  <w:footnote w:type="continuationSeparator" w:id="0">
    <w:p w14:paraId="5FBB6504" w14:textId="77777777" w:rsidR="00002719" w:rsidRDefault="0000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D8F19" w14:textId="46558BD5" w:rsidR="00EF64D6" w:rsidRDefault="00002719">
    <w:pPr>
      <w:pStyle w:val="Header"/>
      <w:framePr w:wrap="around" w:vAnchor="text" w:hAnchor="margin" w:xAlign="inside" w:y="1"/>
      <w:rPr>
        <w:rStyle w:val="PageNumber"/>
      </w:rPr>
    </w:pPr>
    <w:r>
      <w:rPr>
        <w:noProof/>
      </w:rPr>
      <w:pict w14:anchorId="5AE255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508635" o:spid="_x0000_s2051" type="#_x0000_t136" alt="" style="position:absolute;left:0;text-align:left;margin-left:0;margin-top:0;width:479.6pt;height:39.95pt;rotation:315;z-index:-251651072;mso-wrap-edited:f;mso-width-percent:0;mso-height-percent:0;mso-position-horizontal:center;mso-position-horizontal-relative:margin;mso-position-vertical:center;mso-position-vertical-relative:margin;mso-width-percent:0;mso-height-percent:0" o:allowincell="f" fillcolor="#a5a5a5 [2092]" stroked="f">
          <v:textpath style="font-family:&quot;Arial&quot;;font-size:1pt" string="ACCEPTED MANUSCRIPT"/>
        </v:shape>
      </w:pict>
    </w:r>
    <w:r w:rsidR="00EF64D6">
      <w:rPr>
        <w:rStyle w:val="PageNumber"/>
      </w:rPr>
      <w:fldChar w:fldCharType="begin"/>
    </w:r>
    <w:r w:rsidR="00EF64D6">
      <w:rPr>
        <w:rStyle w:val="PageNumber"/>
      </w:rPr>
      <w:instrText xml:space="preserve">PAGE  </w:instrText>
    </w:r>
    <w:r w:rsidR="00EF64D6">
      <w:rPr>
        <w:rStyle w:val="PageNumber"/>
      </w:rPr>
      <w:fldChar w:fldCharType="separate"/>
    </w:r>
    <w:r w:rsidR="00EF64D6">
      <w:rPr>
        <w:rStyle w:val="PageNumber"/>
        <w:noProof/>
      </w:rPr>
      <w:t>8</w:t>
    </w:r>
    <w:r w:rsidR="00EF64D6">
      <w:rPr>
        <w:rStyle w:val="PageNumber"/>
      </w:rPr>
      <w:fldChar w:fldCharType="end"/>
    </w:r>
  </w:p>
  <w:p w14:paraId="62F78A45" w14:textId="5FC381FB" w:rsidR="00EF64D6" w:rsidRDefault="006D0DD7" w:rsidP="006D0DD7">
    <w:pPr>
      <w:pStyle w:val="PageHeader"/>
      <w:rPr>
        <w:color w:val="FF0000"/>
        <w:lang w:val="en-US"/>
      </w:rPr>
    </w:pPr>
    <w:r>
      <w:t>S</w:t>
    </w:r>
    <w:r w:rsidR="00752B39">
      <w:t>.</w:t>
    </w:r>
    <w:r w:rsidRPr="00EE1991">
      <w:rPr>
        <w:color w:val="FF0000"/>
      </w:rPr>
      <w:t xml:space="preserve"> </w:t>
    </w:r>
    <w:r>
      <w:t>D</w:t>
    </w:r>
    <w:r w:rsidRPr="00EA2BB7">
      <w:t xml:space="preserve">raga, </w:t>
    </w:r>
    <w:r>
      <w:t>E</w:t>
    </w:r>
    <w:r w:rsidRPr="00EA2BB7">
      <w:t xml:space="preserve">milia </w:t>
    </w:r>
    <w:proofErr w:type="spellStart"/>
    <w:r>
      <w:t>B</w:t>
    </w:r>
    <w:r w:rsidRPr="00EA2BB7">
      <w:t>u</w:t>
    </w:r>
    <w:r w:rsidRPr="00EB5CF3">
      <w:t>ş</w:t>
    </w:r>
    <w:r w:rsidRPr="00EA2BB7">
      <w:t>e</w:t>
    </w:r>
    <w:proofErr w:type="spellEnd"/>
    <w:r w:rsidRPr="00EA2BB7">
      <w:t xml:space="preserve">, </w:t>
    </w:r>
    <w:proofErr w:type="spellStart"/>
    <w:r>
      <w:t>S</w:t>
    </w:r>
    <w:r w:rsidRPr="00EB5CF3">
      <w:t>peranţa</w:t>
    </w:r>
    <w:proofErr w:type="spellEnd"/>
    <w:r w:rsidRPr="00EA2BB7">
      <w:t xml:space="preserve"> </w:t>
    </w:r>
    <w:r>
      <w:t>A</w:t>
    </w:r>
    <w:r w:rsidRPr="00EA2BB7">
      <w:t>vram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8B93" w14:textId="52C614A7" w:rsidR="00EF64D6" w:rsidRDefault="00EF64D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54872C0" w14:textId="2A94ED8B" w:rsidR="00EF64D6" w:rsidRDefault="00752B39" w:rsidP="0091047C">
    <w:pPr>
      <w:pStyle w:val="PageHeader"/>
      <w:rPr>
        <w:color w:val="FF0000"/>
        <w:lang w:val="en-US"/>
      </w:rPr>
    </w:pPr>
    <w:r w:rsidRPr="0091047C">
      <w:rPr>
        <w:i/>
        <w:iCs/>
        <w:lang w:val="en-US"/>
      </w:rPr>
      <w:t>In silico</w:t>
    </w:r>
    <w:r w:rsidRPr="0091047C">
      <w:rPr>
        <w:lang w:val="en-US"/>
      </w:rPr>
      <w:t xml:space="preserve"> investigation </w:t>
    </w:r>
    <w:r w:rsidRPr="006D0DD7">
      <w:rPr>
        <w:lang w:val="en-US"/>
      </w:rPr>
      <w:t>of anthraquinone</w:t>
    </w:r>
    <w:r>
      <w:rPr>
        <w:lang w:val="en-US"/>
      </w:rPr>
      <w:t>s</w:t>
    </w:r>
    <w:r w:rsidR="00002719">
      <w:rPr>
        <w:noProof/>
      </w:rPr>
      <w:pict w14:anchorId="2E69A6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508636" o:spid="_x0000_s2050" type="#_x0000_t136" alt="" style="position:absolute;left:0;text-align:left;margin-left:0;margin-top:0;width:479.6pt;height:39.95pt;rotation:315;z-index:-251646976;mso-wrap-edited:f;mso-width-percent:0;mso-height-percent:0;mso-position-horizontal:center;mso-position-horizontal-relative:margin;mso-position-vertical:center;mso-position-vertical-relative:margin;mso-width-percent:0;mso-height-percent:0" o:allowincell="f" fillcolor="#a5a5a5 [2092]" stroked="f">
          <v:textpath style="font-family:&quot;Arial&quot;;font-size:1pt" string="ACCEPTED MANUSCRIP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A2AD8" w14:textId="53FD568B" w:rsidR="00243522" w:rsidRDefault="00002719">
    <w:pPr>
      <w:pStyle w:val="Header"/>
    </w:pPr>
    <w:r>
      <w:rPr>
        <w:noProof/>
      </w:rPr>
      <w:pict w14:anchorId="38EDED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508634" o:spid="_x0000_s2049" type="#_x0000_t136" alt="" style="position:absolute;left:0;text-align:left;margin-left:0;margin-top:0;width:479.6pt;height:39.95pt;rotation:315;z-index:-251655168;mso-wrap-edited:f;mso-width-percent:0;mso-height-percent:0;mso-position-horizontal:center;mso-position-horizontal-relative:margin;mso-position-vertical:center;mso-position-vertical-relative:margin;mso-width-percent:0;mso-height-percent:0" o:allowincell="f" fillcolor="#a5a5a5 [2092]" stroked="f">
          <v:textpath style="font-family:&quot;Arial&quot;;font-size:1pt" string="ACCEPTED MANUSCRI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84F2C"/>
    <w:multiLevelType w:val="hybridMultilevel"/>
    <w:tmpl w:val="A59CE9C0"/>
    <w:lvl w:ilvl="0" w:tplc="C324DD8A">
      <w:start w:val="1"/>
      <w:numFmt w:val="decimal"/>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 w15:restartNumberingAfterBreak="0">
    <w:nsid w:val="6BDB70AE"/>
    <w:multiLevelType w:val="singleLevel"/>
    <w:tmpl w:val="B8923932"/>
    <w:lvl w:ilvl="0">
      <w:start w:val="1"/>
      <w:numFmt w:val="decimal"/>
      <w:pStyle w:val="Referenceslist"/>
      <w:lvlText w:val="%1."/>
      <w:lvlJc w:val="left"/>
      <w:pPr>
        <w:tabs>
          <w:tab w:val="num" w:pos="36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embedSystemFonts/>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35"/>
    <w:rsid w:val="00002719"/>
    <w:rsid w:val="00011635"/>
    <w:rsid w:val="00011CCF"/>
    <w:rsid w:val="000163B5"/>
    <w:rsid w:val="00030884"/>
    <w:rsid w:val="00032BCD"/>
    <w:rsid w:val="0005348E"/>
    <w:rsid w:val="00056C3D"/>
    <w:rsid w:val="00060107"/>
    <w:rsid w:val="00070EF0"/>
    <w:rsid w:val="00077710"/>
    <w:rsid w:val="000829DF"/>
    <w:rsid w:val="00096776"/>
    <w:rsid w:val="000A05D5"/>
    <w:rsid w:val="000A2BA4"/>
    <w:rsid w:val="000A393E"/>
    <w:rsid w:val="000A68CF"/>
    <w:rsid w:val="000B3267"/>
    <w:rsid w:val="000B4890"/>
    <w:rsid w:val="000D57A2"/>
    <w:rsid w:val="000E581D"/>
    <w:rsid w:val="000F4C12"/>
    <w:rsid w:val="000F7F00"/>
    <w:rsid w:val="00117588"/>
    <w:rsid w:val="00125FC2"/>
    <w:rsid w:val="00127AF1"/>
    <w:rsid w:val="00131947"/>
    <w:rsid w:val="001368B4"/>
    <w:rsid w:val="001462CE"/>
    <w:rsid w:val="0015341F"/>
    <w:rsid w:val="001574AF"/>
    <w:rsid w:val="00172C98"/>
    <w:rsid w:val="001777E2"/>
    <w:rsid w:val="001B11C4"/>
    <w:rsid w:val="001B4242"/>
    <w:rsid w:val="001C6B32"/>
    <w:rsid w:val="001D6DD0"/>
    <w:rsid w:val="001E2F55"/>
    <w:rsid w:val="001F7954"/>
    <w:rsid w:val="00212FE2"/>
    <w:rsid w:val="00223C87"/>
    <w:rsid w:val="0023275D"/>
    <w:rsid w:val="00240B5E"/>
    <w:rsid w:val="00243522"/>
    <w:rsid w:val="00243FD7"/>
    <w:rsid w:val="002512A9"/>
    <w:rsid w:val="00274E03"/>
    <w:rsid w:val="00292B7A"/>
    <w:rsid w:val="002A156F"/>
    <w:rsid w:val="002F002E"/>
    <w:rsid w:val="002F2BE5"/>
    <w:rsid w:val="003002E7"/>
    <w:rsid w:val="00306F31"/>
    <w:rsid w:val="003108B5"/>
    <w:rsid w:val="00311E0C"/>
    <w:rsid w:val="003237CB"/>
    <w:rsid w:val="00344293"/>
    <w:rsid w:val="00347054"/>
    <w:rsid w:val="00352D2D"/>
    <w:rsid w:val="00355859"/>
    <w:rsid w:val="003617AC"/>
    <w:rsid w:val="00374824"/>
    <w:rsid w:val="003774CE"/>
    <w:rsid w:val="00384B12"/>
    <w:rsid w:val="003916ED"/>
    <w:rsid w:val="00396F96"/>
    <w:rsid w:val="003A0FE3"/>
    <w:rsid w:val="003A543B"/>
    <w:rsid w:val="003A5927"/>
    <w:rsid w:val="003B6C92"/>
    <w:rsid w:val="00402EF4"/>
    <w:rsid w:val="00413B20"/>
    <w:rsid w:val="004255E5"/>
    <w:rsid w:val="00433C57"/>
    <w:rsid w:val="00442ABC"/>
    <w:rsid w:val="004459DF"/>
    <w:rsid w:val="0045765C"/>
    <w:rsid w:val="00467722"/>
    <w:rsid w:val="00470849"/>
    <w:rsid w:val="00473404"/>
    <w:rsid w:val="0047358A"/>
    <w:rsid w:val="00480BB3"/>
    <w:rsid w:val="004817C6"/>
    <w:rsid w:val="004906B3"/>
    <w:rsid w:val="004A05EB"/>
    <w:rsid w:val="004A2915"/>
    <w:rsid w:val="004A346B"/>
    <w:rsid w:val="004C4792"/>
    <w:rsid w:val="004D0438"/>
    <w:rsid w:val="004D3B0F"/>
    <w:rsid w:val="004D6711"/>
    <w:rsid w:val="004E4967"/>
    <w:rsid w:val="004E7C40"/>
    <w:rsid w:val="005255E2"/>
    <w:rsid w:val="0053613B"/>
    <w:rsid w:val="00540047"/>
    <w:rsid w:val="0055680F"/>
    <w:rsid w:val="005A13AC"/>
    <w:rsid w:val="005B1C8B"/>
    <w:rsid w:val="005B469C"/>
    <w:rsid w:val="005B7715"/>
    <w:rsid w:val="005C4A3A"/>
    <w:rsid w:val="005E63AB"/>
    <w:rsid w:val="005E6D0A"/>
    <w:rsid w:val="005F1ED8"/>
    <w:rsid w:val="005F308B"/>
    <w:rsid w:val="0060173F"/>
    <w:rsid w:val="00621150"/>
    <w:rsid w:val="00625343"/>
    <w:rsid w:val="00692A0E"/>
    <w:rsid w:val="006945E7"/>
    <w:rsid w:val="00694B01"/>
    <w:rsid w:val="006A2BE2"/>
    <w:rsid w:val="006B7D87"/>
    <w:rsid w:val="006C0B1F"/>
    <w:rsid w:val="006C2E72"/>
    <w:rsid w:val="006C789F"/>
    <w:rsid w:val="006D0DD7"/>
    <w:rsid w:val="006D2B51"/>
    <w:rsid w:val="006D2E3C"/>
    <w:rsid w:val="006E3BF0"/>
    <w:rsid w:val="006F1E45"/>
    <w:rsid w:val="006F4EFC"/>
    <w:rsid w:val="00711A47"/>
    <w:rsid w:val="00715764"/>
    <w:rsid w:val="00725B32"/>
    <w:rsid w:val="00732EE2"/>
    <w:rsid w:val="007407C4"/>
    <w:rsid w:val="007506BB"/>
    <w:rsid w:val="00752B39"/>
    <w:rsid w:val="00755429"/>
    <w:rsid w:val="00757821"/>
    <w:rsid w:val="00775735"/>
    <w:rsid w:val="00793F59"/>
    <w:rsid w:val="007A2531"/>
    <w:rsid w:val="007D1B02"/>
    <w:rsid w:val="007D37F1"/>
    <w:rsid w:val="007E5F82"/>
    <w:rsid w:val="008100DF"/>
    <w:rsid w:val="008252C6"/>
    <w:rsid w:val="008311F0"/>
    <w:rsid w:val="00835E91"/>
    <w:rsid w:val="00853F76"/>
    <w:rsid w:val="008568B8"/>
    <w:rsid w:val="008768E5"/>
    <w:rsid w:val="00882370"/>
    <w:rsid w:val="00884332"/>
    <w:rsid w:val="00887091"/>
    <w:rsid w:val="0089517A"/>
    <w:rsid w:val="008D486E"/>
    <w:rsid w:val="008E0910"/>
    <w:rsid w:val="008E1C69"/>
    <w:rsid w:val="008E34B5"/>
    <w:rsid w:val="009041C0"/>
    <w:rsid w:val="0091047C"/>
    <w:rsid w:val="0092083C"/>
    <w:rsid w:val="00924B9B"/>
    <w:rsid w:val="00925C31"/>
    <w:rsid w:val="00931D97"/>
    <w:rsid w:val="00937225"/>
    <w:rsid w:val="0093741C"/>
    <w:rsid w:val="00937D2D"/>
    <w:rsid w:val="00946D15"/>
    <w:rsid w:val="0096025F"/>
    <w:rsid w:val="009724CE"/>
    <w:rsid w:val="009801DB"/>
    <w:rsid w:val="00984FDA"/>
    <w:rsid w:val="00994CC7"/>
    <w:rsid w:val="009A5FAE"/>
    <w:rsid w:val="009D4BE9"/>
    <w:rsid w:val="009D611E"/>
    <w:rsid w:val="009F0187"/>
    <w:rsid w:val="00A021D2"/>
    <w:rsid w:val="00A1315A"/>
    <w:rsid w:val="00A21C36"/>
    <w:rsid w:val="00A245C4"/>
    <w:rsid w:val="00A35A08"/>
    <w:rsid w:val="00A440CD"/>
    <w:rsid w:val="00A45CAD"/>
    <w:rsid w:val="00A47286"/>
    <w:rsid w:val="00A50E7A"/>
    <w:rsid w:val="00A51A67"/>
    <w:rsid w:val="00A53E25"/>
    <w:rsid w:val="00A6116A"/>
    <w:rsid w:val="00A76C30"/>
    <w:rsid w:val="00AA64E9"/>
    <w:rsid w:val="00AB1AD4"/>
    <w:rsid w:val="00AB6D93"/>
    <w:rsid w:val="00AE2E2D"/>
    <w:rsid w:val="00AE56F2"/>
    <w:rsid w:val="00B012F0"/>
    <w:rsid w:val="00B151A3"/>
    <w:rsid w:val="00B24A77"/>
    <w:rsid w:val="00B42500"/>
    <w:rsid w:val="00B43135"/>
    <w:rsid w:val="00B54E76"/>
    <w:rsid w:val="00B611E8"/>
    <w:rsid w:val="00B63CCC"/>
    <w:rsid w:val="00B7566E"/>
    <w:rsid w:val="00B763F6"/>
    <w:rsid w:val="00B771AF"/>
    <w:rsid w:val="00B778D2"/>
    <w:rsid w:val="00B82BAB"/>
    <w:rsid w:val="00B86388"/>
    <w:rsid w:val="00B92DDB"/>
    <w:rsid w:val="00B96E37"/>
    <w:rsid w:val="00BA1160"/>
    <w:rsid w:val="00BB7D82"/>
    <w:rsid w:val="00BC4F11"/>
    <w:rsid w:val="00BC7CFD"/>
    <w:rsid w:val="00BC7F92"/>
    <w:rsid w:val="00BD0BDD"/>
    <w:rsid w:val="00BD36AF"/>
    <w:rsid w:val="00BF3D62"/>
    <w:rsid w:val="00BF68F6"/>
    <w:rsid w:val="00C03602"/>
    <w:rsid w:val="00C04DF3"/>
    <w:rsid w:val="00C060D6"/>
    <w:rsid w:val="00C061C1"/>
    <w:rsid w:val="00C10A08"/>
    <w:rsid w:val="00C32C75"/>
    <w:rsid w:val="00C344BE"/>
    <w:rsid w:val="00C34BA0"/>
    <w:rsid w:val="00C34D41"/>
    <w:rsid w:val="00C35D6F"/>
    <w:rsid w:val="00C46F64"/>
    <w:rsid w:val="00C50A56"/>
    <w:rsid w:val="00C52033"/>
    <w:rsid w:val="00C54E54"/>
    <w:rsid w:val="00C714FA"/>
    <w:rsid w:val="00C762DE"/>
    <w:rsid w:val="00C77597"/>
    <w:rsid w:val="00C87B7B"/>
    <w:rsid w:val="00C90B55"/>
    <w:rsid w:val="00C938B1"/>
    <w:rsid w:val="00C9416F"/>
    <w:rsid w:val="00C95D66"/>
    <w:rsid w:val="00CA2420"/>
    <w:rsid w:val="00CB62CD"/>
    <w:rsid w:val="00CD4AEF"/>
    <w:rsid w:val="00D01772"/>
    <w:rsid w:val="00D1496F"/>
    <w:rsid w:val="00D30B98"/>
    <w:rsid w:val="00D512F8"/>
    <w:rsid w:val="00D746BD"/>
    <w:rsid w:val="00D76E2D"/>
    <w:rsid w:val="00D80CD3"/>
    <w:rsid w:val="00D82015"/>
    <w:rsid w:val="00D82513"/>
    <w:rsid w:val="00D86D24"/>
    <w:rsid w:val="00D8729E"/>
    <w:rsid w:val="00D91CF1"/>
    <w:rsid w:val="00D96067"/>
    <w:rsid w:val="00D978B7"/>
    <w:rsid w:val="00DA3DD0"/>
    <w:rsid w:val="00DB4975"/>
    <w:rsid w:val="00DB68BF"/>
    <w:rsid w:val="00DC1676"/>
    <w:rsid w:val="00DC33A8"/>
    <w:rsid w:val="00DD17C7"/>
    <w:rsid w:val="00DD36D4"/>
    <w:rsid w:val="00DE4BC6"/>
    <w:rsid w:val="00DF50A9"/>
    <w:rsid w:val="00DF7ABB"/>
    <w:rsid w:val="00E05B8E"/>
    <w:rsid w:val="00E11889"/>
    <w:rsid w:val="00E15B35"/>
    <w:rsid w:val="00E52F46"/>
    <w:rsid w:val="00E61BCD"/>
    <w:rsid w:val="00E74F65"/>
    <w:rsid w:val="00E756EA"/>
    <w:rsid w:val="00E85367"/>
    <w:rsid w:val="00E86DA3"/>
    <w:rsid w:val="00EA2BB7"/>
    <w:rsid w:val="00EB23A5"/>
    <w:rsid w:val="00EB55E0"/>
    <w:rsid w:val="00EB5CF3"/>
    <w:rsid w:val="00ED001F"/>
    <w:rsid w:val="00ED30B0"/>
    <w:rsid w:val="00EE1991"/>
    <w:rsid w:val="00EE265E"/>
    <w:rsid w:val="00EE3F16"/>
    <w:rsid w:val="00EF4802"/>
    <w:rsid w:val="00EF64D6"/>
    <w:rsid w:val="00F03B59"/>
    <w:rsid w:val="00F056BA"/>
    <w:rsid w:val="00F100EE"/>
    <w:rsid w:val="00F13DD5"/>
    <w:rsid w:val="00F22740"/>
    <w:rsid w:val="00F236CF"/>
    <w:rsid w:val="00F43BB8"/>
    <w:rsid w:val="00F45314"/>
    <w:rsid w:val="00F51FF0"/>
    <w:rsid w:val="00F64FA1"/>
    <w:rsid w:val="00F66955"/>
    <w:rsid w:val="00F81EED"/>
    <w:rsid w:val="00F87073"/>
    <w:rsid w:val="00F90502"/>
    <w:rsid w:val="00F96143"/>
    <w:rsid w:val="00FA280A"/>
    <w:rsid w:val="00FA6EDA"/>
    <w:rsid w:val="00FA7EAE"/>
    <w:rsid w:val="00FB0050"/>
    <w:rsid w:val="00FB4187"/>
    <w:rsid w:val="00FD13FB"/>
    <w:rsid w:val="00FE3119"/>
    <w:rsid w:val="00FE43AA"/>
    <w:rsid w:val="00FE57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D9745D7"/>
  <w15:docId w15:val="{8AD08EE6-5638-41CB-A742-E56C58D1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A47"/>
    <w:pPr>
      <w:jc w:val="both"/>
    </w:pPr>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1A47"/>
    <w:pPr>
      <w:tabs>
        <w:tab w:val="center" w:pos="4320"/>
        <w:tab w:val="right" w:pos="8640"/>
      </w:tabs>
    </w:pPr>
  </w:style>
  <w:style w:type="paragraph" w:customStyle="1" w:styleId="Titlulucrare">
    <w:name w:val="Titlu lucrare"/>
    <w:basedOn w:val="Normal"/>
    <w:next w:val="Autorijournals"/>
    <w:pPr>
      <w:spacing w:before="960"/>
      <w:jc w:val="center"/>
    </w:pPr>
    <w:rPr>
      <w:b/>
      <w:caps/>
      <w:sz w:val="26"/>
    </w:rPr>
  </w:style>
  <w:style w:type="paragraph" w:customStyle="1" w:styleId="Autorijournals">
    <w:name w:val="Autori journals"/>
    <w:basedOn w:val="Normal"/>
    <w:next w:val="Legendaautori"/>
    <w:pPr>
      <w:spacing w:before="480"/>
      <w:jc w:val="center"/>
    </w:pPr>
    <w:rPr>
      <w:i/>
      <w:caps/>
      <w:sz w:val="20"/>
      <w:lang w:val="ro-RO"/>
    </w:rPr>
  </w:style>
  <w:style w:type="paragraph" w:customStyle="1" w:styleId="Legendaautori">
    <w:name w:val="Legenda autori"/>
    <w:basedOn w:val="Normal"/>
    <w:next w:val="Rezumatjournals"/>
    <w:pPr>
      <w:spacing w:before="240"/>
      <w:ind w:left="510"/>
    </w:pPr>
    <w:rPr>
      <w:sz w:val="18"/>
      <w:lang w:val="ro-RO"/>
    </w:rPr>
  </w:style>
  <w:style w:type="paragraph" w:customStyle="1" w:styleId="Rezumatjournals">
    <w:name w:val="Rezumat journals"/>
    <w:basedOn w:val="Normal"/>
    <w:next w:val="Titlucapitol"/>
    <w:pPr>
      <w:spacing w:before="480" w:line="220" w:lineRule="exact"/>
      <w:ind w:left="510" w:right="510"/>
    </w:pPr>
    <w:rPr>
      <w:sz w:val="18"/>
    </w:rPr>
  </w:style>
  <w:style w:type="paragraph" w:customStyle="1" w:styleId="Titlucapitol">
    <w:name w:val="Titlu capitol"/>
    <w:basedOn w:val="Normal"/>
    <w:next w:val="Textlucrare"/>
    <w:pPr>
      <w:keepNext/>
      <w:spacing w:before="480" w:after="240"/>
      <w:jc w:val="center"/>
    </w:pPr>
    <w:rPr>
      <w:b/>
      <w:caps/>
    </w:rPr>
  </w:style>
  <w:style w:type="paragraph" w:customStyle="1" w:styleId="Textlucrare">
    <w:name w:val="Text lucrare"/>
    <w:basedOn w:val="Normal"/>
  </w:style>
  <w:style w:type="paragraph" w:customStyle="1" w:styleId="Headerlucrare">
    <w:name w:val="Header lucrare"/>
    <w:basedOn w:val="Normal"/>
    <w:pPr>
      <w:pBdr>
        <w:bottom w:val="single" w:sz="4" w:space="1" w:color="auto"/>
      </w:pBdr>
      <w:spacing w:after="240"/>
      <w:jc w:val="center"/>
    </w:pPr>
    <w:rPr>
      <w:sz w:val="18"/>
      <w:lang w:val="ro-RO"/>
    </w:rPr>
  </w:style>
  <w:style w:type="paragraph" w:customStyle="1" w:styleId="Footerjournals">
    <w:name w:val="Footer journals"/>
    <w:basedOn w:val="Normal"/>
    <w:next w:val="Normal"/>
    <w:rsid w:val="00711A47"/>
    <w:pPr>
      <w:spacing w:before="240"/>
      <w:jc w:val="left"/>
    </w:pPr>
    <w:rPr>
      <w:caps/>
      <w:sz w:val="18"/>
    </w:rPr>
  </w:style>
  <w:style w:type="paragraph" w:customStyle="1" w:styleId="Textlucrareneindentat">
    <w:name w:val="Text lucrare neindentat"/>
    <w:basedOn w:val="Normal"/>
    <w:next w:val="Textlucrare"/>
  </w:style>
  <w:style w:type="paragraph" w:customStyle="1" w:styleId="Legendafiguri">
    <w:name w:val="Legenda figuri"/>
    <w:basedOn w:val="Normal"/>
    <w:next w:val="Textlucrare"/>
    <w:pPr>
      <w:spacing w:before="120" w:after="240" w:line="220" w:lineRule="exact"/>
      <w:jc w:val="center"/>
    </w:pPr>
    <w:rPr>
      <w:sz w:val="18"/>
    </w:rPr>
  </w:style>
  <w:style w:type="paragraph" w:customStyle="1" w:styleId="Legendatabele">
    <w:name w:val="Legenda tabele"/>
    <w:basedOn w:val="Normal"/>
    <w:next w:val="Textlucrare"/>
    <w:pPr>
      <w:spacing w:before="120" w:after="120" w:line="220" w:lineRule="exact"/>
      <w:jc w:val="center"/>
    </w:pPr>
    <w:rPr>
      <w:sz w:val="18"/>
    </w:rPr>
  </w:style>
  <w:style w:type="paragraph" w:customStyle="1" w:styleId="Titlulbibliografie">
    <w:name w:val="Titlul bibliografie"/>
    <w:basedOn w:val="Rezumatjournals"/>
    <w:next w:val="Bibliogtafielucrare"/>
    <w:pPr>
      <w:keepNext/>
      <w:spacing w:after="240" w:line="240" w:lineRule="auto"/>
      <w:ind w:left="0" w:right="0"/>
      <w:jc w:val="center"/>
    </w:pPr>
    <w:rPr>
      <w:caps/>
    </w:rPr>
  </w:style>
  <w:style w:type="paragraph" w:customStyle="1" w:styleId="Bibliogtafielucrare">
    <w:name w:val="Bibliogtafie lucrare"/>
    <w:basedOn w:val="Rezumatjournals"/>
    <w:pPr>
      <w:tabs>
        <w:tab w:val="num" w:pos="0"/>
        <w:tab w:val="num" w:pos="360"/>
      </w:tabs>
      <w:spacing w:before="0" w:line="240" w:lineRule="auto"/>
      <w:ind w:left="567" w:right="0" w:hanging="567"/>
    </w:pPr>
    <w:rPr>
      <w:lang w:val="ro-RO"/>
    </w:rPr>
  </w:style>
  <w:style w:type="paragraph" w:styleId="Footer">
    <w:name w:val="footer"/>
    <w:basedOn w:val="Normal"/>
    <w:rsid w:val="00711A47"/>
    <w:pPr>
      <w:tabs>
        <w:tab w:val="center" w:pos="4320"/>
        <w:tab w:val="right" w:pos="8640"/>
      </w:tabs>
    </w:pPr>
  </w:style>
  <w:style w:type="character" w:styleId="PageNumber">
    <w:name w:val="page number"/>
    <w:basedOn w:val="DefaultParagraphFont"/>
    <w:rsid w:val="00711A47"/>
    <w:rPr>
      <w:sz w:val="18"/>
    </w:rPr>
  </w:style>
  <w:style w:type="paragraph" w:customStyle="1" w:styleId="Primit">
    <w:name w:val="Primit"/>
    <w:basedOn w:val="Textlucrare"/>
    <w:next w:val="Footerjournals"/>
    <w:rPr>
      <w:i/>
      <w:sz w:val="18"/>
    </w:rPr>
  </w:style>
  <w:style w:type="paragraph" w:customStyle="1" w:styleId="Subchapter">
    <w:name w:val="Subchapter"/>
    <w:basedOn w:val="Text"/>
    <w:next w:val="Text"/>
    <w:rsid w:val="00711A47"/>
    <w:pPr>
      <w:keepNext/>
      <w:spacing w:before="360" w:after="240"/>
      <w:ind w:firstLine="0"/>
      <w:jc w:val="center"/>
    </w:pPr>
    <w:rPr>
      <w:caps/>
      <w:sz w:val="18"/>
    </w:rPr>
  </w:style>
  <w:style w:type="paragraph" w:customStyle="1" w:styleId="Acknowledge">
    <w:name w:val="Acknowledge"/>
    <w:basedOn w:val="Normal"/>
    <w:next w:val="Referencestitle"/>
    <w:rsid w:val="00711A47"/>
    <w:pPr>
      <w:spacing w:before="120"/>
      <w:ind w:firstLine="510"/>
    </w:pPr>
    <w:rPr>
      <w:sz w:val="18"/>
    </w:rPr>
  </w:style>
  <w:style w:type="paragraph" w:customStyle="1" w:styleId="Rubrica">
    <w:name w:val="Rubrica"/>
    <w:basedOn w:val="Normal"/>
    <w:next w:val="Title"/>
    <w:rsid w:val="00711A47"/>
    <w:pPr>
      <w:jc w:val="right"/>
    </w:pPr>
    <w:rPr>
      <w:i/>
      <w:caps/>
      <w:sz w:val="18"/>
    </w:rPr>
  </w:style>
  <w:style w:type="paragraph" w:customStyle="1" w:styleId="Chapter">
    <w:name w:val="Chapter"/>
    <w:basedOn w:val="Normal"/>
    <w:next w:val="Normal"/>
    <w:rsid w:val="00711A47"/>
    <w:pPr>
      <w:keepNext/>
      <w:spacing w:before="480" w:after="240"/>
      <w:jc w:val="center"/>
    </w:pPr>
    <w:rPr>
      <w:b/>
      <w:caps/>
      <w:sz w:val="20"/>
    </w:rPr>
  </w:style>
  <w:style w:type="paragraph" w:customStyle="1" w:styleId="Authors">
    <w:name w:val="Authors"/>
    <w:basedOn w:val="Normal"/>
    <w:next w:val="Address"/>
    <w:rsid w:val="00711A47"/>
    <w:pPr>
      <w:spacing w:after="240"/>
      <w:jc w:val="center"/>
    </w:pPr>
    <w:rPr>
      <w:i/>
      <w:caps/>
      <w:sz w:val="18"/>
    </w:rPr>
  </w:style>
  <w:style w:type="paragraph" w:customStyle="1" w:styleId="Address">
    <w:name w:val="Address"/>
    <w:basedOn w:val="Normal"/>
    <w:next w:val="Abstract"/>
    <w:rsid w:val="00711A47"/>
    <w:pPr>
      <w:jc w:val="center"/>
    </w:pPr>
    <w:rPr>
      <w:sz w:val="18"/>
    </w:rPr>
  </w:style>
  <w:style w:type="paragraph" w:customStyle="1" w:styleId="Abstract">
    <w:name w:val="Abstract"/>
    <w:basedOn w:val="Normal"/>
    <w:next w:val="Keywords"/>
    <w:rsid w:val="00711A47"/>
    <w:pPr>
      <w:spacing w:before="480"/>
      <w:ind w:firstLine="510"/>
    </w:pPr>
    <w:rPr>
      <w:sz w:val="18"/>
    </w:rPr>
  </w:style>
  <w:style w:type="paragraph" w:customStyle="1" w:styleId="PageHeader">
    <w:name w:val="Page Header"/>
    <w:basedOn w:val="Normal"/>
    <w:next w:val="Normal"/>
    <w:rsid w:val="00711A47"/>
    <w:pPr>
      <w:pBdr>
        <w:bottom w:val="single" w:sz="4" w:space="1" w:color="auto"/>
      </w:pBdr>
      <w:jc w:val="center"/>
    </w:pPr>
    <w:rPr>
      <w:sz w:val="18"/>
      <w:lang w:val="ro-RO"/>
    </w:rPr>
  </w:style>
  <w:style w:type="paragraph" w:customStyle="1" w:styleId="Text">
    <w:name w:val="Text"/>
    <w:basedOn w:val="Normal"/>
    <w:rsid w:val="00711A47"/>
    <w:pPr>
      <w:ind w:firstLine="510"/>
    </w:pPr>
  </w:style>
  <w:style w:type="paragraph" w:customStyle="1" w:styleId="Textnoindent">
    <w:name w:val="Text no indent"/>
    <w:basedOn w:val="Normal"/>
    <w:next w:val="Text"/>
    <w:rsid w:val="00711A47"/>
  </w:style>
  <w:style w:type="paragraph" w:customStyle="1" w:styleId="Figures">
    <w:name w:val="Figures"/>
    <w:basedOn w:val="Normal"/>
    <w:next w:val="Text"/>
    <w:rsid w:val="004C4792"/>
    <w:pPr>
      <w:snapToGrid w:val="0"/>
      <w:spacing w:before="120" w:after="240"/>
      <w:jc w:val="center"/>
    </w:pPr>
    <w:rPr>
      <w:sz w:val="18"/>
    </w:rPr>
  </w:style>
  <w:style w:type="paragraph" w:customStyle="1" w:styleId="Tabletitle">
    <w:name w:val="Table title"/>
    <w:basedOn w:val="Normal"/>
    <w:next w:val="Normal"/>
    <w:rsid w:val="00711A47"/>
    <w:pPr>
      <w:keepNext/>
      <w:spacing w:before="120" w:after="80"/>
      <w:jc w:val="center"/>
    </w:pPr>
    <w:rPr>
      <w:sz w:val="18"/>
    </w:rPr>
  </w:style>
  <w:style w:type="paragraph" w:customStyle="1" w:styleId="Referencestitle">
    <w:name w:val="References title"/>
    <w:basedOn w:val="Normal"/>
    <w:next w:val="Referenceslist"/>
    <w:rsid w:val="00711A47"/>
    <w:pPr>
      <w:keepNext/>
      <w:spacing w:before="480" w:after="240"/>
      <w:jc w:val="center"/>
    </w:pPr>
    <w:rPr>
      <w:caps/>
      <w:spacing w:val="40"/>
      <w:sz w:val="18"/>
    </w:rPr>
  </w:style>
  <w:style w:type="paragraph" w:customStyle="1" w:styleId="Referenceslist">
    <w:name w:val="References list"/>
    <w:basedOn w:val="Normal"/>
    <w:rsid w:val="00711A47"/>
    <w:pPr>
      <w:numPr>
        <w:numId w:val="1"/>
      </w:numPr>
      <w:tabs>
        <w:tab w:val="num" w:pos="0"/>
      </w:tabs>
      <w:ind w:left="510" w:hanging="510"/>
    </w:pPr>
    <w:rPr>
      <w:sz w:val="18"/>
    </w:rPr>
  </w:style>
  <w:style w:type="paragraph" w:customStyle="1" w:styleId="Received">
    <w:name w:val="Received"/>
    <w:basedOn w:val="Normal"/>
    <w:next w:val="Normal"/>
    <w:rsid w:val="00711A47"/>
    <w:pPr>
      <w:ind w:firstLine="510"/>
    </w:pPr>
    <w:rPr>
      <w:sz w:val="18"/>
    </w:rPr>
  </w:style>
  <w:style w:type="paragraph" w:customStyle="1" w:styleId="Papertitle">
    <w:name w:val="Paper title"/>
    <w:basedOn w:val="Normal"/>
    <w:next w:val="Authors"/>
    <w:rsid w:val="00711A47"/>
    <w:pPr>
      <w:spacing w:before="720" w:after="360"/>
      <w:jc w:val="center"/>
    </w:pPr>
    <w:rPr>
      <w:b/>
      <w:caps/>
      <w:sz w:val="24"/>
    </w:rPr>
  </w:style>
  <w:style w:type="paragraph" w:customStyle="1" w:styleId="Keywords">
    <w:name w:val="Key words"/>
    <w:basedOn w:val="Normal"/>
    <w:next w:val="Chapter"/>
    <w:rsid w:val="00711A47"/>
    <w:pPr>
      <w:spacing w:before="120"/>
      <w:ind w:firstLine="510"/>
    </w:pPr>
    <w:rPr>
      <w:sz w:val="18"/>
    </w:rPr>
  </w:style>
  <w:style w:type="paragraph" w:customStyle="1" w:styleId="Tableno">
    <w:name w:val="Table no"/>
    <w:basedOn w:val="Normal"/>
    <w:next w:val="Tabletitle"/>
    <w:rsid w:val="00711A47"/>
    <w:pPr>
      <w:keepNext/>
      <w:spacing w:before="240"/>
      <w:jc w:val="center"/>
    </w:pPr>
    <w:rPr>
      <w:i/>
      <w:sz w:val="18"/>
    </w:rPr>
  </w:style>
  <w:style w:type="paragraph" w:customStyle="1" w:styleId="Eq">
    <w:name w:val="Eq"/>
    <w:basedOn w:val="Normal"/>
    <w:next w:val="Normal"/>
    <w:rsid w:val="00711A47"/>
    <w:pPr>
      <w:tabs>
        <w:tab w:val="center" w:pos="3686"/>
        <w:tab w:val="right" w:pos="7371"/>
      </w:tabs>
      <w:spacing w:before="120" w:after="120"/>
    </w:pPr>
  </w:style>
  <w:style w:type="paragraph" w:styleId="Title">
    <w:name w:val="Title"/>
    <w:basedOn w:val="Normal"/>
    <w:qFormat/>
    <w:rsid w:val="00711A47"/>
    <w:pPr>
      <w:spacing w:before="240" w:after="360"/>
      <w:jc w:val="center"/>
      <w:outlineLvl w:val="0"/>
    </w:pPr>
    <w:rPr>
      <w:b/>
      <w:kern w:val="28"/>
      <w:sz w:val="32"/>
    </w:rPr>
  </w:style>
  <w:style w:type="paragraph" w:customStyle="1" w:styleId="Subchapter2">
    <w:name w:val="Subchapter2"/>
    <w:basedOn w:val="Normal"/>
    <w:next w:val="Normal"/>
    <w:rsid w:val="00711A47"/>
    <w:pPr>
      <w:spacing w:before="240" w:after="120"/>
      <w:jc w:val="center"/>
    </w:pPr>
    <w:rPr>
      <w:b/>
      <w:sz w:val="20"/>
    </w:rPr>
  </w:style>
  <w:style w:type="character" w:styleId="PlaceholderText">
    <w:name w:val="Placeholder Text"/>
    <w:basedOn w:val="DefaultParagraphFont"/>
    <w:uiPriority w:val="99"/>
    <w:semiHidden/>
    <w:rsid w:val="008E34B5"/>
    <w:rPr>
      <w:color w:val="808080"/>
    </w:rPr>
  </w:style>
  <w:style w:type="character" w:customStyle="1" w:styleId="st">
    <w:name w:val="st"/>
    <w:basedOn w:val="DefaultParagraphFont"/>
    <w:rsid w:val="00853F76"/>
  </w:style>
  <w:style w:type="character" w:styleId="Hyperlink">
    <w:name w:val="Hyperlink"/>
    <w:basedOn w:val="DefaultParagraphFont"/>
    <w:uiPriority w:val="99"/>
    <w:unhideWhenUsed/>
    <w:rsid w:val="0060173F"/>
    <w:rPr>
      <w:color w:val="0000FF"/>
      <w:u w:val="single"/>
    </w:rPr>
  </w:style>
  <w:style w:type="character" w:customStyle="1" w:styleId="UnresolvedMention1">
    <w:name w:val="Unresolved Mention1"/>
    <w:basedOn w:val="DefaultParagraphFont"/>
    <w:uiPriority w:val="99"/>
    <w:semiHidden/>
    <w:unhideWhenUsed/>
    <w:rsid w:val="00BC7CFD"/>
    <w:rPr>
      <w:color w:val="605E5C"/>
      <w:shd w:val="clear" w:color="auto" w:fill="E1DFDD"/>
    </w:rPr>
  </w:style>
  <w:style w:type="character" w:customStyle="1" w:styleId="highwire-cite-metadata-doi">
    <w:name w:val="highwire-cite-metadata-doi"/>
    <w:basedOn w:val="DefaultParagraphFont"/>
    <w:rsid w:val="00096776"/>
  </w:style>
  <w:style w:type="character" w:styleId="FollowedHyperlink">
    <w:name w:val="FollowedHyperlink"/>
    <w:basedOn w:val="DefaultParagraphFont"/>
    <w:rsid w:val="00A6116A"/>
    <w:rPr>
      <w:color w:val="954F72" w:themeColor="followedHyperlink"/>
      <w:u w:val="single"/>
    </w:rPr>
  </w:style>
  <w:style w:type="character" w:customStyle="1" w:styleId="identifier">
    <w:name w:val="identifier"/>
    <w:basedOn w:val="DefaultParagraphFont"/>
    <w:rsid w:val="00A51A67"/>
  </w:style>
  <w:style w:type="table" w:styleId="TableGrid">
    <w:name w:val="Table Grid"/>
    <w:basedOn w:val="TableNormal"/>
    <w:rsid w:val="00C3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D486E"/>
    <w:rPr>
      <w:rFonts w:ascii="TimesNewRomanPSMT" w:hAnsi="TimesNewRomanPSMT" w:hint="default"/>
      <w:b w:val="0"/>
      <w:bCs w:val="0"/>
      <w:i w:val="0"/>
      <w:iCs w:val="0"/>
      <w:color w:val="000000"/>
      <w:sz w:val="22"/>
      <w:szCs w:val="22"/>
    </w:rPr>
  </w:style>
  <w:style w:type="paragraph" w:styleId="BalloonText">
    <w:name w:val="Balloon Text"/>
    <w:basedOn w:val="Normal"/>
    <w:link w:val="BalloonTextChar"/>
    <w:rsid w:val="0055680F"/>
    <w:rPr>
      <w:rFonts w:ascii="Tahoma" w:hAnsi="Tahoma" w:cs="Tahoma"/>
      <w:sz w:val="16"/>
      <w:szCs w:val="16"/>
    </w:rPr>
  </w:style>
  <w:style w:type="character" w:customStyle="1" w:styleId="BalloonTextChar">
    <w:name w:val="Balloon Text Char"/>
    <w:basedOn w:val="DefaultParagraphFont"/>
    <w:link w:val="BalloonText"/>
    <w:rsid w:val="0055680F"/>
    <w:rPr>
      <w:rFonts w:ascii="Tahoma" w:hAnsi="Tahoma" w:cs="Tahoma"/>
      <w:sz w:val="16"/>
      <w:szCs w:val="16"/>
      <w:lang w:val="en-US" w:eastAsia="en-US"/>
    </w:rPr>
  </w:style>
  <w:style w:type="paragraph" w:styleId="ListParagraph">
    <w:name w:val="List Paragraph"/>
    <w:basedOn w:val="Normal"/>
    <w:uiPriority w:val="34"/>
    <w:qFormat/>
    <w:rsid w:val="00FE3119"/>
    <w:pPr>
      <w:ind w:left="720"/>
      <w:contextualSpacing/>
    </w:pPr>
  </w:style>
  <w:style w:type="character" w:styleId="UnresolvedMention">
    <w:name w:val="Unresolved Mention"/>
    <w:basedOn w:val="DefaultParagraphFont"/>
    <w:uiPriority w:val="99"/>
    <w:semiHidden/>
    <w:unhideWhenUsed/>
    <w:rsid w:val="00E11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057278">
      <w:bodyDiv w:val="1"/>
      <w:marLeft w:val="0"/>
      <w:marRight w:val="0"/>
      <w:marTop w:val="0"/>
      <w:marBottom w:val="0"/>
      <w:divBdr>
        <w:top w:val="none" w:sz="0" w:space="0" w:color="auto"/>
        <w:left w:val="none" w:sz="0" w:space="0" w:color="auto"/>
        <w:bottom w:val="none" w:sz="0" w:space="0" w:color="auto"/>
        <w:right w:val="none" w:sz="0" w:space="0" w:color="auto"/>
      </w:divBdr>
      <w:divsChild>
        <w:div w:id="2084839493">
          <w:marLeft w:val="0"/>
          <w:marRight w:val="0"/>
          <w:marTop w:val="0"/>
          <w:marBottom w:val="0"/>
          <w:divBdr>
            <w:top w:val="none" w:sz="0" w:space="0" w:color="auto"/>
            <w:left w:val="none" w:sz="0" w:space="0" w:color="auto"/>
            <w:bottom w:val="none" w:sz="0" w:space="0" w:color="auto"/>
            <w:right w:val="none" w:sz="0" w:space="0" w:color="auto"/>
          </w:divBdr>
          <w:divsChild>
            <w:div w:id="58796849">
              <w:marLeft w:val="0"/>
              <w:marRight w:val="0"/>
              <w:marTop w:val="0"/>
              <w:marBottom w:val="0"/>
              <w:divBdr>
                <w:top w:val="none" w:sz="0" w:space="0" w:color="auto"/>
                <w:left w:val="none" w:sz="0" w:space="0" w:color="auto"/>
                <w:bottom w:val="none" w:sz="0" w:space="0" w:color="auto"/>
                <w:right w:val="none" w:sz="0" w:space="0" w:color="auto"/>
              </w:divBdr>
              <w:divsChild>
                <w:div w:id="1082869445">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04017843">
      <w:bodyDiv w:val="1"/>
      <w:marLeft w:val="0"/>
      <w:marRight w:val="0"/>
      <w:marTop w:val="0"/>
      <w:marBottom w:val="0"/>
      <w:divBdr>
        <w:top w:val="none" w:sz="0" w:space="0" w:color="auto"/>
        <w:left w:val="none" w:sz="0" w:space="0" w:color="auto"/>
        <w:bottom w:val="none" w:sz="0" w:space="0" w:color="auto"/>
        <w:right w:val="none" w:sz="0" w:space="0" w:color="auto"/>
      </w:divBdr>
      <w:divsChild>
        <w:div w:id="1663654863">
          <w:marLeft w:val="0"/>
          <w:marRight w:val="0"/>
          <w:marTop w:val="0"/>
          <w:marBottom w:val="0"/>
          <w:divBdr>
            <w:top w:val="none" w:sz="0" w:space="0" w:color="auto"/>
            <w:left w:val="none" w:sz="0" w:space="0" w:color="auto"/>
            <w:bottom w:val="none" w:sz="0" w:space="0" w:color="auto"/>
            <w:right w:val="none" w:sz="0" w:space="0" w:color="auto"/>
          </w:divBdr>
        </w:div>
      </w:divsChild>
    </w:div>
    <w:div w:id="986859686">
      <w:bodyDiv w:val="1"/>
      <w:marLeft w:val="0"/>
      <w:marRight w:val="0"/>
      <w:marTop w:val="0"/>
      <w:marBottom w:val="0"/>
      <w:divBdr>
        <w:top w:val="none" w:sz="0" w:space="0" w:color="auto"/>
        <w:left w:val="none" w:sz="0" w:space="0" w:color="auto"/>
        <w:bottom w:val="none" w:sz="0" w:space="0" w:color="auto"/>
        <w:right w:val="none" w:sz="0" w:space="0" w:color="auto"/>
      </w:divBdr>
      <w:divsChild>
        <w:div w:id="296185408">
          <w:marLeft w:val="0"/>
          <w:marRight w:val="0"/>
          <w:marTop w:val="0"/>
          <w:marBottom w:val="0"/>
          <w:divBdr>
            <w:top w:val="none" w:sz="0" w:space="0" w:color="auto"/>
            <w:left w:val="none" w:sz="0" w:space="0" w:color="auto"/>
            <w:bottom w:val="none" w:sz="0" w:space="0" w:color="auto"/>
            <w:right w:val="none" w:sz="0" w:space="0" w:color="auto"/>
          </w:divBdr>
          <w:divsChild>
            <w:div w:id="1868717403">
              <w:marLeft w:val="0"/>
              <w:marRight w:val="0"/>
              <w:marTop w:val="0"/>
              <w:marBottom w:val="0"/>
              <w:divBdr>
                <w:top w:val="none" w:sz="0" w:space="0" w:color="auto"/>
                <w:left w:val="none" w:sz="0" w:space="0" w:color="auto"/>
                <w:bottom w:val="none" w:sz="0" w:space="0" w:color="auto"/>
                <w:right w:val="none" w:sz="0" w:space="0" w:color="auto"/>
              </w:divBdr>
              <w:divsChild>
                <w:div w:id="1889141579">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22318212">
      <w:bodyDiv w:val="1"/>
      <w:marLeft w:val="0"/>
      <w:marRight w:val="0"/>
      <w:marTop w:val="0"/>
      <w:marBottom w:val="0"/>
      <w:divBdr>
        <w:top w:val="none" w:sz="0" w:space="0" w:color="auto"/>
        <w:left w:val="none" w:sz="0" w:space="0" w:color="auto"/>
        <w:bottom w:val="none" w:sz="0" w:space="0" w:color="auto"/>
        <w:right w:val="none" w:sz="0" w:space="0" w:color="auto"/>
      </w:divBdr>
    </w:div>
    <w:div w:id="1179198729">
      <w:bodyDiv w:val="1"/>
      <w:marLeft w:val="0"/>
      <w:marRight w:val="0"/>
      <w:marTop w:val="0"/>
      <w:marBottom w:val="0"/>
      <w:divBdr>
        <w:top w:val="none" w:sz="0" w:space="0" w:color="auto"/>
        <w:left w:val="none" w:sz="0" w:space="0" w:color="auto"/>
        <w:bottom w:val="none" w:sz="0" w:space="0" w:color="auto"/>
        <w:right w:val="none" w:sz="0" w:space="0" w:color="auto"/>
      </w:divBdr>
    </w:div>
    <w:div w:id="204971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r.draga@gmail.com" TargetMode="External"/><Relationship Id="rId13" Type="http://schemas.openxmlformats.org/officeDocument/2006/relationships/image" Target="media/image5.png"/><Relationship Id="rId18" Type="http://schemas.microsoft.com/office/2007/relationships/hdphoto" Target="media/hdphoto2.wdp"/><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heminfo.org/Chemistry/Cheminformatics/FormatConverter/index.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3.wd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dacad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C6840-744B-40E2-B85A-203092F6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Office\Templates\edacadb.dot</Template>
  <TotalTime>1</TotalTime>
  <Pages>10</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TITLE OF THE PAPER</vt:lpstr>
    </vt:vector>
  </TitlesOfParts>
  <Company>No  Company</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dc:title>
  <dc:creator>No  Name</dc:creator>
  <cp:lastModifiedBy>Alexandru RADOVICI (24753)</cp:lastModifiedBy>
  <cp:revision>2</cp:revision>
  <cp:lastPrinted>2020-08-04T06:11:00Z</cp:lastPrinted>
  <dcterms:created xsi:type="dcterms:W3CDTF">2020-08-04T08:22:00Z</dcterms:created>
  <dcterms:modified xsi:type="dcterms:W3CDTF">2020-08-04T08:22:00Z</dcterms:modified>
</cp:coreProperties>
</file>